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33A4FB">
      <w:pPr>
        <w:keepNext w:val="0"/>
        <w:keepLines w:val="0"/>
        <w:pageBreakBefore w:val="0"/>
        <w:widowControl w:val="0"/>
        <w:kinsoku/>
        <w:wordWrap/>
        <w:overflowPunct/>
        <w:topLinePunct w:val="0"/>
        <w:autoSpaceDE/>
        <w:autoSpaceDN/>
        <w:bidi w:val="0"/>
        <w:adjustRightInd w:val="0"/>
        <w:snapToGrid w:val="0"/>
        <w:spacing w:before="313" w:beforeLines="100" w:after="313" w:afterLines="100" w:line="240" w:lineRule="auto"/>
        <w:ind w:firstLine="0" w:firstLineChars="0"/>
        <w:jc w:val="center"/>
        <w:textAlignment w:val="auto"/>
        <w:rPr>
          <w:rFonts w:hint="default" w:ascii="Times New Roman" w:hAnsi="Times New Roman" w:cs="Times New Roman"/>
          <w:b/>
          <w:bCs w:val="0"/>
          <w:sz w:val="36"/>
          <w:szCs w:val="36"/>
          <w14:ligatures w14:val="none"/>
        </w:rPr>
      </w:pPr>
      <w:r>
        <w:rPr>
          <w:rFonts w:hint="default" w:ascii="Times New Roman" w:hAnsi="Times New Roman" w:cs="Times New Roman"/>
          <w:b/>
          <w:bCs w:val="0"/>
          <w:sz w:val="36"/>
          <w:szCs w:val="36"/>
          <w14:ligatures w14:val="none"/>
        </w:rPr>
        <w:t>Application of Transparent Soil Materials in Geotechnical Tunnel Model Tests</w:t>
      </w:r>
      <w:r>
        <w:rPr>
          <w:rFonts w:hint="eastAsia" w:ascii="Times New Roman" w:cs="Times New Roman"/>
          <w:b/>
          <w:bCs w:val="0"/>
          <w:color w:val="FF0000"/>
          <w:sz w:val="36"/>
          <w:szCs w:val="36"/>
          <w:lang w:eastAsia="zh-CN"/>
          <w14:ligatures w14:val="none"/>
        </w:rPr>
        <w:t>(</w:t>
      </w:r>
      <w:r>
        <w:rPr>
          <w:rFonts w:hint="eastAsia" w:ascii="Times New Roman" w:cs="Times New Roman"/>
          <w:b/>
          <w:bCs w:val="0"/>
          <w:iCs/>
          <w:color w:val="FF0000"/>
          <w:kern w:val="2"/>
          <w:sz w:val="36"/>
          <w:szCs w:val="36"/>
          <w:lang w:val="en-US" w:eastAsia="zh-CN" w:bidi="ar"/>
        </w:rPr>
        <w:t xml:space="preserve">18pt, </w:t>
      </w:r>
      <w:r>
        <w:rPr>
          <w:rFonts w:hint="default" w:ascii="Times New Roman" w:hAnsi="Times New Roman" w:eastAsia="宋体" w:cs="Times New Roman"/>
          <w:b/>
          <w:bCs w:val="0"/>
          <w:color w:val="FF0000"/>
          <w:kern w:val="2"/>
          <w:sz w:val="36"/>
          <w:szCs w:val="36"/>
          <w:lang w:val="en-US" w:eastAsia="zh-CN" w:bidi="ar"/>
        </w:rPr>
        <w:t>Times New Roman</w:t>
      </w:r>
      <w:r>
        <w:rPr>
          <w:rFonts w:hint="default" w:ascii="Times New Roman" w:hAnsi="Times New Roman" w:eastAsia="方正书宋简体" w:cs="Times New Roman"/>
          <w:b/>
          <w:bCs w:val="0"/>
          <w:iCs/>
          <w:color w:val="FF0000"/>
          <w:kern w:val="2"/>
          <w:sz w:val="36"/>
          <w:szCs w:val="36"/>
          <w:lang w:val="en-US" w:eastAsia="zh-CN" w:bidi="ar"/>
        </w:rPr>
        <w:t>，</w:t>
      </w:r>
      <w:r>
        <w:rPr>
          <w:rFonts w:hint="eastAsia" w:ascii="Times New Roman" w:cs="Times New Roman"/>
          <w:b/>
          <w:bCs w:val="0"/>
          <w:iCs/>
          <w:color w:val="FF0000"/>
          <w:kern w:val="2"/>
          <w:sz w:val="36"/>
          <w:szCs w:val="36"/>
          <w:lang w:val="en-US" w:eastAsia="zh-CN" w:bidi="ar"/>
        </w:rPr>
        <w:t>bold)</w:t>
      </w:r>
    </w:p>
    <w:p w14:paraId="16511CDB">
      <w:pPr>
        <w:keepLines w:val="0"/>
        <w:pageBreakBefore w:val="0"/>
        <w:kinsoku/>
        <w:wordWrap/>
        <w:overflowPunct/>
        <w:topLinePunct w:val="0"/>
        <w:autoSpaceDE/>
        <w:autoSpaceDN/>
        <w:bidi w:val="0"/>
        <w:adjustRightInd w:val="0"/>
        <w:snapToGrid w:val="0"/>
        <w:spacing w:after="210" w:line="240" w:lineRule="auto"/>
        <w:ind w:firstLine="0" w:firstLineChars="0"/>
        <w:jc w:val="center"/>
        <w:textAlignment w:val="auto"/>
        <w:rPr>
          <w:rFonts w:hint="default" w:ascii="Times New Roman" w:hAnsi="Times New Roman" w:cs="Times New Roman"/>
          <w:sz w:val="28"/>
          <w:szCs w:val="28"/>
        </w:rPr>
      </w:pPr>
      <w:r>
        <w:rPr>
          <w:rFonts w:hint="default" w:ascii="Times New Roman" w:hAnsi="Times New Roman" w:eastAsia="方正楷体简体" w:cs="Times New Roman"/>
          <w:iCs/>
          <w:sz w:val="28"/>
          <w:szCs w:val="28"/>
        </w:rPr>
        <w:t>LIU Hanlong</w:t>
      </w:r>
      <w:r>
        <w:rPr>
          <w:rFonts w:hint="default" w:ascii="Times New Roman" w:hAnsi="Times New Roman" w:eastAsia="方正楷体简体" w:cs="Times New Roman"/>
          <w:iCs/>
          <w:sz w:val="28"/>
          <w:szCs w:val="28"/>
          <w:vertAlign w:val="superscript"/>
        </w:rPr>
        <w:t>1</w:t>
      </w:r>
      <w:r>
        <w:rPr>
          <w:rFonts w:hint="default" w:ascii="Times New Roman" w:hAnsi="Times New Roman" w:eastAsia="方正楷体简体" w:cs="Times New Roman"/>
          <w:iCs/>
          <w:sz w:val="28"/>
          <w:szCs w:val="28"/>
        </w:rPr>
        <w:t xml:space="preserve">, </w:t>
      </w:r>
      <w:r>
        <w:rPr>
          <w:rFonts w:hint="default" w:ascii="Times New Roman" w:hAnsi="Times New Roman" w:cs="Times New Roman"/>
          <w:sz w:val="28"/>
          <w:szCs w:val="28"/>
        </w:rPr>
        <w:t>ZHANG Huang</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rPr>
        <w:t>, XIAO Peng</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vertAlign w:val="superscript"/>
          <w:lang w:val="en-US" w:eastAsia="zh-CN"/>
        </w:rPr>
        <w:t xml:space="preserve"> </w:t>
      </w:r>
      <w:r>
        <w:rPr>
          <w:rFonts w:hint="default" w:ascii="Times New Roman" w:hAnsi="Times New Roman" w:cs="Times New Roman"/>
          <w:sz w:val="28"/>
          <w:szCs w:val="28"/>
          <w:vertAlign w:val="superscript"/>
        </w:rPr>
        <w:t>3</w:t>
      </w:r>
      <w:r>
        <w:rPr>
          <w:rFonts w:hint="default" w:ascii="Times New Roman" w:hAnsi="Times New Roman" w:cs="Times New Roman"/>
          <w:sz w:val="28"/>
          <w:szCs w:val="28"/>
        </w:rPr>
        <w:t>, ZHANG Wengang</w:t>
      </w:r>
      <w:r>
        <w:rPr>
          <w:rFonts w:hint="default" w:ascii="Times New Roman" w:hAnsi="Times New Roman" w:cs="Times New Roman"/>
          <w:sz w:val="28"/>
          <w:szCs w:val="28"/>
          <w:vertAlign w:val="superscript"/>
        </w:rPr>
        <w:t>1,</w:t>
      </w:r>
      <w:r>
        <w:rPr>
          <w:rFonts w:hint="default" w:ascii="Times New Roman" w:hAnsi="Times New Roman" w:cs="Times New Roman"/>
          <w:sz w:val="28"/>
          <w:szCs w:val="28"/>
          <w:vertAlign w:val="superscript"/>
          <w:lang w:val="en-US" w:eastAsia="zh-CN"/>
        </w:rPr>
        <w:t xml:space="preserve"> </w:t>
      </w:r>
      <w:r>
        <w:rPr>
          <w:rFonts w:hint="default" w:ascii="Times New Roman" w:hAnsi="Times New Roman" w:cs="Times New Roman"/>
          <w:sz w:val="28"/>
          <w:szCs w:val="28"/>
          <w:vertAlign w:val="superscript"/>
        </w:rPr>
        <w:t>2</w:t>
      </w:r>
      <w:r>
        <w:rPr>
          <w:rFonts w:hint="default" w:ascii="Times New Roman" w:hAnsi="Times New Roman" w:cs="Times New Roman"/>
          <w:sz w:val="28"/>
          <w:szCs w:val="28"/>
        </w:rPr>
        <w:t>, SUN Weixin</w:t>
      </w:r>
      <w:r>
        <w:rPr>
          <w:rFonts w:hint="default" w:ascii="Times New Roman" w:hAnsi="Times New Roman" w:cs="Times New Roman"/>
          <w:sz w:val="28"/>
          <w:szCs w:val="28"/>
          <w:vertAlign w:val="superscript"/>
        </w:rPr>
        <w:t>1,5</w:t>
      </w:r>
      <w:r>
        <w:rPr>
          <w:rFonts w:hint="default" w:ascii="Times New Roman" w:hAnsi="Times New Roman" w:cs="Times New Roman"/>
          <w:sz w:val="28"/>
          <w:szCs w:val="28"/>
          <w:vertAlign w:val="superscript"/>
          <w:lang w:val="en-US" w:eastAsia="zh-CN"/>
        </w:rPr>
        <w:t xml:space="preserve">, </w:t>
      </w:r>
      <w:r>
        <w:rPr>
          <w:rFonts w:hint="default" w:ascii="Times New Roman" w:hAnsi="Times New Roman" w:cs="Times New Roman"/>
          <w:sz w:val="28"/>
          <w:szCs w:val="28"/>
          <w:vertAlign w:val="superscript"/>
        </w:rPr>
        <w:t>*</w:t>
      </w:r>
      <w:r>
        <w:rPr>
          <w:rFonts w:hint="default" w:ascii="Times New Roman" w:hAnsi="Times New Roman" w:cs="Times New Roman"/>
          <w:sz w:val="28"/>
          <w:szCs w:val="28"/>
        </w:rPr>
        <w:t>, QI Rujian</w:t>
      </w:r>
      <w:r>
        <w:rPr>
          <w:rFonts w:hint="default" w:ascii="Times New Roman" w:hAnsi="Times New Roman" w:cs="Times New Roman"/>
          <w:sz w:val="28"/>
          <w:szCs w:val="28"/>
          <w:vertAlign w:val="superscript"/>
        </w:rPr>
        <w:t>4</w:t>
      </w:r>
      <w:r>
        <w:rPr>
          <w:rFonts w:hint="default" w:ascii="Times New Roman" w:hAnsi="Times New Roman" w:cs="Times New Roman"/>
          <w:sz w:val="28"/>
          <w:szCs w:val="28"/>
        </w:rPr>
        <w:t>, CHEN Zhen</w:t>
      </w:r>
      <w:r>
        <w:rPr>
          <w:rFonts w:hint="default" w:ascii="Times New Roman" w:hAnsi="Times New Roman" w:cs="Times New Roman"/>
          <w:sz w:val="28"/>
          <w:szCs w:val="28"/>
          <w:vertAlign w:val="superscript"/>
        </w:rPr>
        <w:t>4</w:t>
      </w:r>
      <w:r>
        <w:rPr>
          <w:rFonts w:hint="eastAsia" w:ascii="Times New Roman" w:cs="Times New Roman"/>
          <w:iCs/>
          <w:color w:val="FF0000"/>
          <w:kern w:val="2"/>
          <w:sz w:val="28"/>
          <w:szCs w:val="28"/>
          <w:lang w:val="en-US" w:eastAsia="zh-CN" w:bidi="ar"/>
        </w:rPr>
        <w:t xml:space="preserve">(14pt, </w:t>
      </w:r>
      <w:r>
        <w:rPr>
          <w:rFonts w:hint="default" w:ascii="Times New Roman" w:hAnsi="Times New Roman" w:eastAsia="宋体" w:cs="Times New Roman"/>
          <w:color w:val="FF0000"/>
          <w:kern w:val="2"/>
          <w:sz w:val="28"/>
          <w:szCs w:val="28"/>
          <w:lang w:val="en-US" w:eastAsia="zh-CN" w:bidi="ar"/>
        </w:rPr>
        <w:t>Times New Roman</w:t>
      </w:r>
      <w:r>
        <w:rPr>
          <w:rFonts w:hint="eastAsia" w:ascii="Times New Roman" w:cs="Times New Roman"/>
          <w:iCs/>
          <w:color w:val="FF0000"/>
          <w:kern w:val="2"/>
          <w:sz w:val="28"/>
          <w:szCs w:val="28"/>
          <w:lang w:val="en-US" w:eastAsia="zh-CN" w:bidi="ar"/>
        </w:rPr>
        <w:t>)</w:t>
      </w:r>
    </w:p>
    <w:p w14:paraId="135B45AF">
      <w:pPr>
        <w:keepLines w:val="0"/>
        <w:pageBreakBefore w:val="0"/>
        <w:numPr>
          <w:ilvl w:val="0"/>
          <w:numId w:val="4"/>
        </w:numP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iCs/>
          <w:sz w:val="21"/>
          <w:szCs w:val="21"/>
        </w:rPr>
      </w:pPr>
      <w:r>
        <w:rPr>
          <w:rFonts w:hint="default" w:ascii="Times New Roman" w:hAnsi="Times New Roman" w:cs="Times New Roman"/>
          <w:iCs/>
          <w:sz w:val="21"/>
          <w:szCs w:val="21"/>
        </w:rPr>
        <w:t>School of Civil Engineering, Chongqing University, Chongqing 400045, China; 2. State Key Laboratory of Safety and Resilience of Civil Engineering in Mountain Area, Chongqing 400045, China; 3. Chongqing Railway Investment Group Co., Ltd., Chongqing 400023, China; 4. The First Engineering Co., Ltd. of China Railway Tunnel Group, Chongqing 401123, China; 5. College of Aerospace Engineering, Chongqing University, Chongqing 400044, China)</w:t>
      </w:r>
      <w:r>
        <w:rPr>
          <w:rFonts w:hint="eastAsia" w:ascii="Times New Roman" w:cs="Times New Roman"/>
          <w:iCs/>
          <w:color w:val="FF0000"/>
          <w:kern w:val="2"/>
          <w:sz w:val="21"/>
          <w:szCs w:val="21"/>
          <w:lang w:val="en-US" w:eastAsia="zh-CN" w:bidi="ar"/>
        </w:rPr>
        <w:t xml:space="preserve">(10.5pt, </w:t>
      </w:r>
      <w:r>
        <w:rPr>
          <w:rFonts w:hint="default" w:ascii="Times New Roman" w:hAnsi="Times New Roman" w:eastAsia="宋体" w:cs="Times New Roman"/>
          <w:iCs/>
          <w:color w:val="FF0000"/>
          <w:kern w:val="2"/>
          <w:sz w:val="21"/>
          <w:szCs w:val="21"/>
          <w:lang w:val="en-US" w:eastAsia="zh-CN" w:bidi="ar"/>
        </w:rPr>
        <w:t>Times New Roman</w:t>
      </w:r>
      <w:r>
        <w:rPr>
          <w:rFonts w:hint="eastAsia" w:ascii="Times New Roman" w:cs="Times New Roman"/>
          <w:iCs/>
          <w:color w:val="FF0000"/>
          <w:kern w:val="2"/>
          <w:sz w:val="21"/>
          <w:szCs w:val="21"/>
          <w:lang w:val="en-US" w:eastAsia="zh-CN" w:bidi="ar"/>
        </w:rPr>
        <w:t>)</w:t>
      </w:r>
    </w:p>
    <w:p w14:paraId="34386CD3">
      <w:pPr>
        <w:keepLines w:val="0"/>
        <w:pageBreakBefore w:val="0"/>
        <w:kinsoku/>
        <w:wordWrap/>
        <w:overflowPunct/>
        <w:topLinePunct w:val="0"/>
        <w:autoSpaceDE/>
        <w:autoSpaceDN/>
        <w:bidi w:val="0"/>
        <w:adjustRightInd w:val="0"/>
        <w:snapToGrid w:val="0"/>
        <w:spacing w:line="240" w:lineRule="auto"/>
        <w:ind w:firstLine="0" w:firstLineChars="0"/>
        <w:textAlignment w:val="auto"/>
        <w:rPr>
          <w:rFonts w:ascii="Times New Roman"/>
          <w:sz w:val="21"/>
          <w:szCs w:val="21"/>
        </w:rPr>
      </w:pPr>
      <w:bookmarkStart w:id="0" w:name="_Hlk194171847"/>
      <w:r>
        <w:rPr>
          <w:rFonts w:ascii="Times New Roman"/>
          <w:b/>
          <w:bCs/>
          <w:sz w:val="21"/>
          <w:szCs w:val="21"/>
        </w:rPr>
        <w:t>Abstract</w:t>
      </w:r>
      <w:r>
        <w:rPr>
          <w:rFonts w:hint="eastAsia" w:ascii="Times New Roman"/>
          <w:b/>
          <w:bCs/>
          <w:color w:val="FF0000"/>
          <w:sz w:val="21"/>
          <w:szCs w:val="21"/>
          <w:lang w:val="en-US" w:eastAsia="zh-CN"/>
        </w:rPr>
        <w:t>(</w:t>
      </w:r>
      <w:r>
        <w:rPr>
          <w:rFonts w:hint="eastAsia" w:ascii="Times New Roman" w:hAnsi="方正楷体简体" w:eastAsia="方正楷体简体" w:cs="方正楷体简体"/>
          <w:b/>
          <w:bCs/>
          <w:iCs/>
          <w:color w:val="FF0000"/>
          <w:kern w:val="2"/>
          <w:sz w:val="21"/>
          <w:szCs w:val="21"/>
          <w:lang w:val="en-US" w:eastAsia="zh-CN" w:bidi="ar"/>
          <w14:ligatures w14:val="standardContextual"/>
        </w:rPr>
        <w:t xml:space="preserve">10.5pt, </w:t>
      </w:r>
      <w:r>
        <w:rPr>
          <w:rFonts w:hint="default" w:ascii="Times New Roman" w:hAnsi="Times New Roman" w:eastAsia="宋体" w:cs="Times New Roman"/>
          <w:b/>
          <w:bCs/>
          <w:color w:val="FF0000"/>
          <w:kern w:val="2"/>
          <w:sz w:val="21"/>
          <w:szCs w:val="21"/>
          <w:lang w:val="en-US" w:eastAsia="zh-CN" w:bidi="ar"/>
          <w14:ligatures w14:val="standardContextual"/>
        </w:rPr>
        <w:t>Times New Roman</w:t>
      </w:r>
      <w:r>
        <w:rPr>
          <w:rFonts w:hint="eastAsia" w:ascii="Times New Roman" w:eastAsia="宋体" w:cs="Times New Roman"/>
          <w:b/>
          <w:bCs/>
          <w:color w:val="FF0000"/>
          <w:kern w:val="2"/>
          <w:sz w:val="21"/>
          <w:szCs w:val="21"/>
          <w:lang w:val="en-US" w:eastAsia="zh-CN" w:bidi="ar"/>
          <w14:ligatures w14:val="standardContextual"/>
        </w:rPr>
        <w:t>, bold)</w:t>
      </w:r>
      <w:r>
        <w:rPr>
          <w:rFonts w:ascii="Times New Roman"/>
          <w:sz w:val="21"/>
          <w:szCs w:val="21"/>
        </w:rPr>
        <w:t>: Transparent soil techniques provide a visual medium and experimental approach for the testing of geotechnical tunnel models. However, most existing studies focus on individual material development or adaptations to specific working conditions, with systematic synthesis and comprehensive overviews remaining limited. This review discusses progress in transparent soil–based tunnel model testing from the perspectives of materials, optics, experimental applications, and evaluation. From the material perspective, we review the evolutionary development of transparent soil materials and summarize the compositional characteristics and physical–mechanical parameter matching principles of sand-type, clay-type, and rock-like transparent soils, emphasizing key issues related to material preparation and parameter adjustment. From the perspective of optics, we clarify the optical fundamentals of transparent soil model testing and discuss core components such as transparency requirements, model box size constraints, laser parameter selection, optical measurement techniques, and artificial speckle preparation while comparing the applicable ranges of digital image correlation and particle image velocimetry. From the experimental perspective, we systematically review representative applications of transparent soil materials in tunnel geotechnical model tests. These applications cover tunnel face stability, grouting diffusion, and construction-induced ground deformation. On this basis, experimental observations with potential transferability are identified. From the perspective of evaluation and outlook, several limitations are addressed, including constraints related to material equivalence, restrictions on model scale imposed by optical path length, insufficient speckle stability, and the high cost of experimental systems. Practical approaches to mitigating these problems are proposed (such as three-step equivalence calibration based on reactivity evaluation, guidance for selecting optical measurement techniques, and directions for the development of new transparent soil materials) to enhance engineering comparability and extrapolation capability under unprecedented working conditions.</w:t>
      </w:r>
      <w:r>
        <w:rPr>
          <w:rFonts w:hint="eastAsia" w:ascii="Times New Roman"/>
          <w:b w:val="0"/>
          <w:bCs w:val="0"/>
          <w:color w:val="FF0000"/>
          <w:sz w:val="21"/>
          <w:szCs w:val="21"/>
          <w:lang w:val="en-US" w:eastAsia="zh-CN"/>
        </w:rPr>
        <w:t>(</w:t>
      </w:r>
      <w:r>
        <w:rPr>
          <w:rFonts w:hint="eastAsia" w:ascii="Times New Roman" w:hAnsi="方正楷体简体" w:eastAsia="方正楷体简体" w:cs="方正楷体简体"/>
          <w:iCs/>
          <w:color w:val="FF0000"/>
          <w:kern w:val="2"/>
          <w:sz w:val="21"/>
          <w:szCs w:val="21"/>
          <w:lang w:val="en-US" w:eastAsia="zh-CN" w:bidi="ar"/>
          <w14:ligatures w14:val="standardContextual"/>
        </w:rPr>
        <w:t xml:space="preserve">10.5pt, </w:t>
      </w:r>
      <w:r>
        <w:rPr>
          <w:rFonts w:hint="default" w:ascii="Times New Roman" w:hAnsi="Times New Roman" w:eastAsia="宋体" w:cs="Times New Roman"/>
          <w:color w:val="FF0000"/>
          <w:kern w:val="2"/>
          <w:sz w:val="21"/>
          <w:szCs w:val="21"/>
          <w:lang w:val="en-US" w:eastAsia="zh-CN" w:bidi="ar"/>
          <w14:ligatures w14:val="standardContextual"/>
        </w:rPr>
        <w:t>Times New Roman</w:t>
      </w:r>
      <w:r>
        <w:rPr>
          <w:rFonts w:hint="eastAsia" w:ascii="Times New Roman" w:eastAsia="宋体" w:cs="Times New Roman"/>
          <w:color w:val="FF0000"/>
          <w:kern w:val="2"/>
          <w:sz w:val="21"/>
          <w:szCs w:val="21"/>
          <w:lang w:val="en-US" w:eastAsia="zh-CN" w:bidi="ar"/>
          <w14:ligatures w14:val="standardContextual"/>
        </w:rPr>
        <w:t>)</w:t>
      </w:r>
    </w:p>
    <w:p w14:paraId="3DC734F4">
      <w:pPr>
        <w:keepLines w:val="0"/>
        <w:pageBreakBefore w:val="0"/>
        <w:kinsoku/>
        <w:wordWrap/>
        <w:overflowPunct/>
        <w:topLinePunct w:val="0"/>
        <w:autoSpaceDE/>
        <w:autoSpaceDN/>
        <w:bidi w:val="0"/>
        <w:adjustRightInd w:val="0"/>
        <w:snapToGrid w:val="0"/>
        <w:spacing w:line="240" w:lineRule="auto"/>
        <w:ind w:firstLine="0" w:firstLineChars="0"/>
        <w:textAlignment w:val="auto"/>
        <w:rPr>
          <w:rFonts w:ascii="Times New Roman" w:eastAsia="方正楷体简体"/>
          <w:iCs/>
          <w:sz w:val="21"/>
          <w:szCs w:val="21"/>
        </w:rPr>
      </w:pPr>
      <w:r>
        <w:rPr>
          <w:rFonts w:ascii="Times New Roman"/>
          <w:b/>
          <w:bCs/>
          <w:sz w:val="21"/>
          <w:szCs w:val="21"/>
        </w:rPr>
        <w:t>Keywords</w:t>
      </w:r>
      <w:r>
        <w:rPr>
          <w:rFonts w:hint="eastAsia" w:ascii="Times New Roman"/>
          <w:b/>
          <w:bCs/>
          <w:color w:val="FF0000"/>
          <w:sz w:val="21"/>
          <w:szCs w:val="21"/>
          <w:lang w:val="en-US" w:eastAsia="zh-CN"/>
        </w:rPr>
        <w:t>(</w:t>
      </w:r>
      <w:r>
        <w:rPr>
          <w:rFonts w:hint="eastAsia" w:ascii="Times New Roman" w:hAnsi="方正楷体简体" w:eastAsia="方正楷体简体" w:cs="方正楷体简体"/>
          <w:b/>
          <w:bCs/>
          <w:iCs/>
          <w:color w:val="FF0000"/>
          <w:kern w:val="2"/>
          <w:sz w:val="21"/>
          <w:szCs w:val="21"/>
          <w:lang w:val="en-US" w:eastAsia="zh-CN" w:bidi="ar"/>
          <w14:ligatures w14:val="standardContextual"/>
        </w:rPr>
        <w:t xml:space="preserve">10.5pt, </w:t>
      </w:r>
      <w:r>
        <w:rPr>
          <w:rFonts w:hint="default" w:ascii="Times New Roman" w:hAnsi="Times New Roman" w:eastAsia="宋体" w:cs="Times New Roman"/>
          <w:b/>
          <w:bCs/>
          <w:color w:val="FF0000"/>
          <w:kern w:val="2"/>
          <w:sz w:val="21"/>
          <w:szCs w:val="21"/>
          <w:lang w:val="en-US" w:eastAsia="zh-CN" w:bidi="ar"/>
          <w14:ligatures w14:val="standardContextual"/>
        </w:rPr>
        <w:t>Times New Roman</w:t>
      </w:r>
      <w:r>
        <w:rPr>
          <w:rFonts w:hint="eastAsia" w:ascii="Times New Roman" w:eastAsia="宋体" w:cs="Times New Roman"/>
          <w:b/>
          <w:bCs/>
          <w:color w:val="FF0000"/>
          <w:kern w:val="2"/>
          <w:sz w:val="21"/>
          <w:szCs w:val="21"/>
          <w:lang w:val="en-US" w:eastAsia="zh-CN" w:bidi="ar"/>
          <w14:ligatures w14:val="standardContextual"/>
        </w:rPr>
        <w:t>, bold)</w:t>
      </w:r>
      <w:r>
        <w:rPr>
          <w:rFonts w:ascii="Times New Roman"/>
          <w:sz w:val="21"/>
          <w:szCs w:val="21"/>
        </w:rPr>
        <w:t>: transparent soil; tunnel</w:t>
      </w:r>
      <w:r>
        <w:rPr>
          <w:rFonts w:ascii="Times New Roman" w:eastAsia="方正楷体简体"/>
          <w:iCs/>
          <w:sz w:val="21"/>
          <w:szCs w:val="21"/>
        </w:rPr>
        <w:t xml:space="preserve"> engineering; physical modeling</w:t>
      </w:r>
      <w:r>
        <w:rPr>
          <w:rFonts w:ascii="Times New Roman"/>
          <w:sz w:val="21"/>
          <w:szCs w:val="21"/>
        </w:rPr>
        <w:t xml:space="preserve"> test; particle image velocimetry; digital image correlation; speckle pattern preparation; stratum </w:t>
      </w:r>
      <w:r>
        <w:rPr>
          <w:rFonts w:ascii="Times New Roman" w:eastAsia="方正楷体简体"/>
          <w:iCs/>
          <w:sz w:val="21"/>
          <w:szCs w:val="21"/>
        </w:rPr>
        <w:t>displacement field</w:t>
      </w:r>
      <w:bookmarkEnd w:id="0"/>
      <w:r>
        <w:rPr>
          <w:rFonts w:hint="eastAsia" w:ascii="Times New Roman" w:hAnsi="方正楷体简体" w:eastAsia="方正楷体简体" w:cs="方正楷体简体"/>
          <w:iCs/>
          <w:color w:val="FF0000"/>
          <w:kern w:val="2"/>
          <w:sz w:val="21"/>
          <w:szCs w:val="21"/>
          <w:lang w:val="en-US" w:eastAsia="zh-CN" w:bidi="ar"/>
          <w14:ligatures w14:val="standardContextual"/>
        </w:rPr>
        <w:t xml:space="preserve">(10.5pt, </w:t>
      </w:r>
      <w:r>
        <w:rPr>
          <w:rFonts w:hint="default" w:ascii="Times New Roman" w:hAnsi="Times New Roman" w:eastAsia="宋体" w:cs="Times New Roman"/>
          <w:color w:val="FF0000"/>
          <w:kern w:val="2"/>
          <w:sz w:val="21"/>
          <w:szCs w:val="21"/>
          <w:lang w:val="en-US" w:eastAsia="zh-CN" w:bidi="ar"/>
          <w14:ligatures w14:val="standardContextual"/>
        </w:rPr>
        <w:t>Times New Roman</w:t>
      </w:r>
      <w:r>
        <w:rPr>
          <w:rFonts w:hint="eastAsia" w:ascii="Times New Roman" w:hAnsi="方正楷体简体" w:eastAsia="方正楷体简体" w:cs="方正楷体简体"/>
          <w:iCs/>
          <w:color w:val="FF0000"/>
          <w:kern w:val="2"/>
          <w:sz w:val="21"/>
          <w:szCs w:val="21"/>
          <w:lang w:val="en-US" w:eastAsia="zh-CN" w:bidi="ar"/>
          <w14:ligatures w14:val="standardContextual"/>
        </w:rPr>
        <w:t>)</w:t>
      </w:r>
    </w:p>
    <w:p w14:paraId="633ECE3D">
      <w:pPr>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eastAsia" w:ascii="Times New Roman" w:eastAsia="宋体"/>
          <w:sz w:val="18"/>
          <w:szCs w:val="18"/>
        </w:rPr>
      </w:pPr>
      <w:r>
        <w:rPr>
          <w:rFonts w:hint="eastAsia" w:ascii="黑体" w:hAnsi="黑体" w:eastAsia="黑体" w:cs="黑体"/>
          <w:b w:val="0"/>
          <w:bCs w:val="0"/>
          <w:sz w:val="18"/>
          <w:szCs w:val="18"/>
          <w:lang w:val="en-US" w:eastAsia="zh-CN"/>
        </w:rPr>
        <w:t>DOI</w:t>
      </w:r>
      <w:r>
        <w:rPr>
          <w:rFonts w:hint="eastAsia" w:ascii="Times New Roman" w:hAnsi="方正楷体简体" w:eastAsia="方正楷体简体" w:cs="方正楷体简体"/>
          <w:iCs/>
          <w:color w:val="FF0000"/>
          <w:kern w:val="2"/>
          <w:sz w:val="18"/>
          <w:szCs w:val="18"/>
          <w:lang w:val="en-US" w:eastAsia="zh-CN" w:bidi="ar"/>
          <w14:ligatures w14:val="standardContextual"/>
        </w:rPr>
        <w:t>(9pt, SimHei)</w:t>
      </w:r>
      <w:r>
        <w:rPr>
          <w:rFonts w:hint="eastAsia" w:ascii="Times New Roman" w:eastAsia="宋体"/>
          <w:sz w:val="18"/>
          <w:szCs w:val="18"/>
          <w:lang w:val="en-US" w:eastAsia="zh-CN"/>
        </w:rPr>
        <w:t>：</w:t>
      </w:r>
      <w:r>
        <w:rPr>
          <w:rFonts w:hint="eastAsia" w:ascii="Times New Roman" w:eastAsia="宋体"/>
          <w:sz w:val="18"/>
          <w:szCs w:val="18"/>
        </w:rPr>
        <w:t xml:space="preserve">10. 3973/ j. issn. 2096-4498. 2026. 01. 001 </w:t>
      </w:r>
      <w:r>
        <w:rPr>
          <w:rFonts w:hint="eastAsia" w:ascii="Times New Roman" w:hAnsi="方正楷体简体" w:eastAsia="方正楷体简体" w:cs="方正楷体简体"/>
          <w:iCs/>
          <w:color w:val="FF0000"/>
          <w:kern w:val="2"/>
          <w:sz w:val="18"/>
          <w:szCs w:val="18"/>
          <w:lang w:val="en-US" w:eastAsia="zh-CN" w:bidi="ar"/>
          <w14:ligatures w14:val="standardContextual"/>
        </w:rPr>
        <w:t>(9pt, FZShuSong-Z02S)</w:t>
      </w:r>
    </w:p>
    <w:p w14:paraId="4250A118">
      <w:pPr>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eastAsia" w:ascii="Times New Roman" w:hAnsi="方正楷体简体" w:eastAsia="方正楷体简体" w:cs="方正楷体简体"/>
          <w:iCs/>
          <w:color w:val="FF0000"/>
          <w:kern w:val="2"/>
          <w:sz w:val="18"/>
          <w:szCs w:val="18"/>
          <w:lang w:val="en-US" w:eastAsia="zh-CN" w:bidi="ar"/>
          <w14:ligatures w14:val="standardContextual"/>
        </w:rPr>
      </w:pPr>
      <w:r>
        <w:rPr>
          <w:rFonts w:hint="eastAsia" w:ascii="黑体" w:hAnsi="黑体" w:eastAsia="黑体" w:cs="黑体"/>
          <w:b w:val="0"/>
          <w:bCs w:val="0"/>
          <w:sz w:val="18"/>
          <w:szCs w:val="18"/>
        </w:rPr>
        <w:t>中图分类号</w:t>
      </w:r>
      <w:r>
        <w:rPr>
          <w:rFonts w:hint="eastAsia" w:ascii="Times New Roman" w:hAnsi="方正楷体简体" w:eastAsia="方正楷体简体" w:cs="方正楷体简体"/>
          <w:iCs/>
          <w:color w:val="FF0000"/>
          <w:kern w:val="2"/>
          <w:sz w:val="18"/>
          <w:szCs w:val="18"/>
          <w:lang w:val="en-US" w:eastAsia="zh-CN" w:bidi="ar"/>
          <w14:ligatures w14:val="standardContextual"/>
        </w:rPr>
        <w:t>(9pt, SimHei)</w:t>
      </w:r>
      <w:r>
        <w:rPr>
          <w:rFonts w:hint="eastAsia" w:ascii="Times New Roman" w:eastAsia="宋体"/>
          <w:sz w:val="18"/>
          <w:szCs w:val="18"/>
        </w:rPr>
        <w:t>: U 45</w:t>
      </w:r>
      <w:r>
        <w:rPr>
          <w:rFonts w:hint="eastAsia" w:ascii="Times New Roman" w:hAnsi="方正楷体简体" w:eastAsia="方正楷体简体" w:cs="方正楷体简体"/>
          <w:iCs/>
          <w:color w:val="FF0000"/>
          <w:kern w:val="2"/>
          <w:sz w:val="18"/>
          <w:szCs w:val="18"/>
          <w:lang w:val="en-US" w:eastAsia="zh-CN" w:bidi="ar"/>
          <w14:ligatures w14:val="standardContextual"/>
        </w:rPr>
        <w:t>(9pt, FZShuSong-Z02S)　</w:t>
      </w:r>
      <w:r>
        <w:rPr>
          <w:rFonts w:hint="eastAsia" w:ascii="Times New Roman" w:eastAsia="宋体"/>
          <w:sz w:val="18"/>
          <w:szCs w:val="18"/>
        </w:rPr>
        <w:t>　　　　</w:t>
      </w:r>
      <w:r>
        <w:rPr>
          <w:rFonts w:hint="eastAsia" w:ascii="黑体" w:hAnsi="黑体" w:eastAsia="黑体" w:cs="黑体"/>
          <w:b w:val="0"/>
          <w:bCs w:val="0"/>
          <w:sz w:val="18"/>
          <w:szCs w:val="18"/>
        </w:rPr>
        <w:t>文献标志码</w:t>
      </w:r>
      <w:r>
        <w:rPr>
          <w:rFonts w:hint="eastAsia" w:ascii="Times New Roman" w:hAnsi="方正楷体简体" w:eastAsia="方正楷体简体" w:cs="方正楷体简体"/>
          <w:iCs/>
          <w:color w:val="FF0000"/>
          <w:kern w:val="2"/>
          <w:sz w:val="18"/>
          <w:szCs w:val="18"/>
          <w:lang w:val="en-US" w:eastAsia="zh-CN" w:bidi="ar"/>
          <w14:ligatures w14:val="standardContextual"/>
        </w:rPr>
        <w:t>(9pt, SimHei)</w:t>
      </w:r>
      <w:r>
        <w:rPr>
          <w:rFonts w:hint="eastAsia" w:ascii="Times New Roman" w:eastAsia="宋体"/>
          <w:sz w:val="18"/>
          <w:szCs w:val="18"/>
        </w:rPr>
        <w:t>:A</w:t>
      </w:r>
      <w:r>
        <w:rPr>
          <w:rFonts w:hint="eastAsia" w:ascii="Times New Roman" w:hAnsi="方正楷体简体" w:eastAsia="方正楷体简体" w:cs="方正楷体简体"/>
          <w:iCs/>
          <w:color w:val="FF0000"/>
          <w:kern w:val="2"/>
          <w:sz w:val="18"/>
          <w:szCs w:val="18"/>
          <w:lang w:val="en-US" w:eastAsia="zh-CN" w:bidi="ar"/>
          <w14:ligatures w14:val="standardContextual"/>
        </w:rPr>
        <w:t>(FZShuSong-Z02S)　</w:t>
      </w:r>
      <w:r>
        <w:rPr>
          <w:rFonts w:hint="eastAsia" w:ascii="Times New Roman" w:eastAsia="宋体"/>
          <w:sz w:val="18"/>
          <w:szCs w:val="18"/>
        </w:rPr>
        <w:t>　　　</w:t>
      </w:r>
      <w:r>
        <w:rPr>
          <w:rFonts w:hint="eastAsia" w:ascii="Times New Roman" w:eastAsia="宋体"/>
          <w:sz w:val="18"/>
          <w:szCs w:val="18"/>
          <w:lang w:val="en-US" w:eastAsia="zh-CN"/>
        </w:rPr>
        <w:t xml:space="preserve">  </w:t>
      </w:r>
      <w:r>
        <w:rPr>
          <w:rFonts w:hint="eastAsia" w:ascii="Times New Roman" w:eastAsia="宋体"/>
          <w:sz w:val="18"/>
          <w:szCs w:val="18"/>
        </w:rPr>
        <w:t>　</w:t>
      </w:r>
      <w:r>
        <w:rPr>
          <w:rFonts w:hint="eastAsia" w:ascii="黑体" w:hAnsi="黑体" w:eastAsia="黑体" w:cs="黑体"/>
          <w:b w:val="0"/>
          <w:bCs w:val="0"/>
          <w:sz w:val="18"/>
          <w:szCs w:val="18"/>
        </w:rPr>
        <w:t>文章编号</w:t>
      </w:r>
      <w:r>
        <w:rPr>
          <w:rFonts w:hint="eastAsia" w:ascii="Times New Roman" w:hAnsi="方正楷体简体" w:eastAsia="方正楷体简体" w:cs="方正楷体简体"/>
          <w:iCs/>
          <w:color w:val="FF0000"/>
          <w:kern w:val="2"/>
          <w:sz w:val="18"/>
          <w:szCs w:val="18"/>
          <w:lang w:val="en-US" w:eastAsia="zh-CN" w:bidi="ar"/>
          <w14:ligatures w14:val="standardContextual"/>
        </w:rPr>
        <w:t>(9pt, SimHei)</w:t>
      </w:r>
      <w:r>
        <w:rPr>
          <w:rFonts w:hint="eastAsia" w:ascii="Times New Roman" w:eastAsia="宋体"/>
          <w:sz w:val="18"/>
          <w:szCs w:val="18"/>
        </w:rPr>
        <w:t>: 2096-4498(2026)01</w:t>
      </w:r>
      <w:r>
        <w:rPr>
          <w:rFonts w:hint="eastAsia" w:ascii="Times New Roman" w:eastAsia="宋体"/>
          <w:sz w:val="18"/>
          <w:szCs w:val="18"/>
          <w:lang w:val="en-US" w:eastAsia="zh-CN"/>
        </w:rPr>
        <w:t>-</w:t>
      </w:r>
      <w:r>
        <w:rPr>
          <w:rFonts w:hint="eastAsia" w:ascii="Times New Roman" w:eastAsia="宋体"/>
          <w:sz w:val="18"/>
          <w:szCs w:val="18"/>
        </w:rPr>
        <w:t>0001</w:t>
      </w:r>
      <w:r>
        <w:rPr>
          <w:rFonts w:hint="eastAsia" w:ascii="Times New Roman" w:eastAsia="宋体"/>
          <w:sz w:val="18"/>
          <w:szCs w:val="18"/>
          <w:lang w:val="en-US" w:eastAsia="zh-CN"/>
        </w:rPr>
        <w:t>-</w:t>
      </w:r>
      <w:r>
        <w:rPr>
          <w:rFonts w:hint="eastAsia" w:ascii="Times New Roman" w:eastAsia="宋体"/>
          <w:sz w:val="18"/>
          <w:szCs w:val="18"/>
        </w:rPr>
        <w:t>34</w:t>
      </w:r>
      <w:r>
        <w:rPr>
          <w:rFonts w:hint="eastAsia" w:ascii="Times New Roman" w:hAnsi="方正楷体简体" w:eastAsia="方正楷体简体" w:cs="方正楷体简体"/>
          <w:iCs/>
          <w:color w:val="FF0000"/>
          <w:kern w:val="2"/>
          <w:sz w:val="18"/>
          <w:szCs w:val="18"/>
          <w:lang w:val="en-US" w:eastAsia="zh-CN" w:bidi="ar"/>
          <w14:ligatures w14:val="standardContextual"/>
        </w:rPr>
        <w:t>(9pt, FZShuSong-Z02S)</w:t>
      </w:r>
    </w:p>
    <w:p w14:paraId="489188B5">
      <w:pPr>
        <w:keepNext w:val="0"/>
        <w:keepLines w:val="0"/>
        <w:pageBreakBefore w:val="0"/>
        <w:widowControl w:val="0"/>
        <w:kinsoku/>
        <w:wordWrap/>
        <w:overflowPunct/>
        <w:topLinePunct w:val="0"/>
        <w:autoSpaceDE/>
        <w:autoSpaceDN/>
        <w:bidi w:val="0"/>
        <w:adjustRightInd w:val="0"/>
        <w:snapToGrid w:val="0"/>
        <w:spacing w:before="313" w:beforeLines="100" w:after="157" w:afterLines="50" w:line="240" w:lineRule="auto"/>
        <w:ind w:firstLine="0" w:firstLineChars="0"/>
        <w:jc w:val="center"/>
        <w:textAlignment w:val="auto"/>
        <w:rPr>
          <w:rFonts w:hint="eastAsia" w:ascii="黑体" w:hAnsi="黑体" w:eastAsia="黑体" w:cs="黑体"/>
          <w:color w:val="FF0000"/>
          <w:sz w:val="36"/>
          <w:szCs w:val="36"/>
          <w:lang w:eastAsia="zh-CN"/>
        </w:rPr>
      </w:pPr>
      <w:r>
        <w:rPr>
          <w:rFonts w:hint="eastAsia" w:ascii="黑体" w:hAnsi="黑体" w:eastAsia="黑体" w:cs="黑体"/>
          <w:sz w:val="36"/>
          <w:szCs w:val="36"/>
        </w:rPr>
        <w:t>透明土材料在隧道岩土工程模型试验中的应用综述</w:t>
      </w:r>
      <w:r>
        <w:rPr>
          <w:rFonts w:hint="eastAsia" w:ascii="黑体" w:hAnsi="黑体" w:eastAsia="黑体" w:cs="黑体"/>
          <w:color w:val="FF0000"/>
          <w:sz w:val="36"/>
          <w:szCs w:val="36"/>
          <w:lang w:eastAsia="zh-CN"/>
        </w:rPr>
        <w:t>(</w:t>
      </w:r>
      <w:r>
        <w:rPr>
          <w:rFonts w:hint="eastAsia" w:ascii="黑体" w:hAnsi="黑体" w:eastAsia="黑体" w:cs="黑体"/>
          <w:color w:val="FF0000"/>
          <w:sz w:val="36"/>
          <w:szCs w:val="36"/>
          <w:lang w:val="en-US" w:eastAsia="zh-CN"/>
        </w:rPr>
        <w:t>18pt,SimHei)</w:t>
      </w:r>
    </w:p>
    <w:p w14:paraId="2F817BE6">
      <w:pPr>
        <w:keepLines w:val="0"/>
        <w:pageBreakBefore w:val="0"/>
        <w:kinsoku/>
        <w:wordWrap/>
        <w:overflowPunct/>
        <w:topLinePunct w:val="0"/>
        <w:autoSpaceDE/>
        <w:autoSpaceDN/>
        <w:bidi w:val="0"/>
        <w:adjustRightInd w:val="0"/>
        <w:snapToGrid w:val="0"/>
        <w:spacing w:after="210" w:line="240" w:lineRule="auto"/>
        <w:ind w:firstLine="0" w:firstLineChars="0"/>
        <w:jc w:val="center"/>
        <w:textAlignment w:val="auto"/>
        <w:rPr>
          <w:rFonts w:hint="eastAsia" w:ascii="楷体" w:hAnsi="楷体" w:eastAsia="楷体" w:cs="楷体"/>
          <w:sz w:val="28"/>
          <w:szCs w:val="28"/>
        </w:rPr>
      </w:pPr>
      <w:r>
        <w:rPr>
          <w:rFonts w:hint="eastAsia" w:ascii="楷体" w:hAnsi="楷体" w:eastAsia="楷体" w:cs="楷体"/>
          <w:iCs/>
          <w:sz w:val="28"/>
          <w:szCs w:val="28"/>
        </w:rPr>
        <w:t>刘汉龙</w:t>
      </w:r>
      <w:r>
        <w:rPr>
          <w:rFonts w:hint="eastAsia" w:ascii="楷体" w:hAnsi="楷体" w:eastAsia="楷体" w:cs="楷体"/>
          <w:iCs/>
          <w:sz w:val="28"/>
          <w:szCs w:val="28"/>
          <w:vertAlign w:val="superscript"/>
        </w:rPr>
        <w:t>1</w:t>
      </w:r>
      <w:r>
        <w:rPr>
          <w:rFonts w:hint="eastAsia" w:ascii="楷体" w:hAnsi="楷体" w:eastAsia="楷体" w:cs="楷体"/>
          <w:iCs/>
          <w:sz w:val="28"/>
          <w:szCs w:val="28"/>
        </w:rPr>
        <w:t>，张煌</w:t>
      </w:r>
      <w:r>
        <w:rPr>
          <w:rFonts w:hint="eastAsia" w:ascii="楷体" w:hAnsi="楷体" w:eastAsia="楷体" w:cs="楷体"/>
          <w:sz w:val="28"/>
          <w:szCs w:val="28"/>
          <w:vertAlign w:val="superscript"/>
        </w:rPr>
        <w:t>1</w:t>
      </w:r>
      <w:r>
        <w:rPr>
          <w:rFonts w:hint="eastAsia" w:ascii="楷体" w:hAnsi="楷体" w:eastAsia="楷体" w:cs="楷体"/>
          <w:sz w:val="28"/>
          <w:szCs w:val="28"/>
        </w:rPr>
        <w:t>，</w:t>
      </w:r>
      <w:r>
        <w:rPr>
          <w:rFonts w:hint="eastAsia" w:ascii="楷体" w:hAnsi="楷体" w:eastAsia="楷体" w:cs="楷体"/>
          <w:iCs/>
          <w:sz w:val="28"/>
          <w:szCs w:val="28"/>
        </w:rPr>
        <w:t>肖鹏</w:t>
      </w:r>
      <w:r>
        <w:rPr>
          <w:rFonts w:hint="eastAsia" w:ascii="楷体" w:hAnsi="楷体" w:eastAsia="楷体" w:cs="楷体"/>
          <w:sz w:val="28"/>
          <w:szCs w:val="28"/>
          <w:vertAlign w:val="superscript"/>
        </w:rPr>
        <w:t>1</w:t>
      </w:r>
      <w:r>
        <w:rPr>
          <w:rFonts w:hint="eastAsia" w:ascii="楷体" w:hAnsi="楷体" w:eastAsia="楷体" w:cs="楷体"/>
          <w:sz w:val="28"/>
          <w:szCs w:val="28"/>
          <w:vertAlign w:val="superscript"/>
          <w:lang w:eastAsia="zh-CN"/>
        </w:rPr>
        <w:t>，</w:t>
      </w:r>
      <w:r>
        <w:rPr>
          <w:rFonts w:hint="eastAsia" w:ascii="楷体" w:hAnsi="楷体" w:eastAsia="楷体" w:cs="楷体"/>
          <w:sz w:val="28"/>
          <w:szCs w:val="28"/>
          <w:vertAlign w:val="superscript"/>
        </w:rPr>
        <w:t>3</w:t>
      </w:r>
      <w:r>
        <w:rPr>
          <w:rFonts w:hint="eastAsia" w:ascii="楷体" w:hAnsi="楷体" w:eastAsia="楷体" w:cs="楷体"/>
          <w:sz w:val="28"/>
          <w:szCs w:val="28"/>
        </w:rPr>
        <w:t>，</w:t>
      </w:r>
      <w:r>
        <w:rPr>
          <w:rFonts w:hint="eastAsia" w:ascii="楷体" w:hAnsi="楷体" w:eastAsia="楷体" w:cs="楷体"/>
          <w:iCs/>
          <w:sz w:val="28"/>
          <w:szCs w:val="28"/>
        </w:rPr>
        <w:t>仉文岗</w:t>
      </w:r>
      <w:r>
        <w:rPr>
          <w:rFonts w:hint="eastAsia" w:ascii="楷体" w:hAnsi="楷体" w:eastAsia="楷体" w:cs="楷体"/>
          <w:sz w:val="28"/>
          <w:szCs w:val="28"/>
          <w:vertAlign w:val="superscript"/>
        </w:rPr>
        <w:t>1，2</w:t>
      </w:r>
      <w:r>
        <w:rPr>
          <w:rFonts w:hint="eastAsia" w:ascii="楷体" w:hAnsi="楷体" w:eastAsia="楷体" w:cs="楷体"/>
          <w:sz w:val="28"/>
          <w:szCs w:val="28"/>
        </w:rPr>
        <w:t>，</w:t>
      </w:r>
      <w:r>
        <w:rPr>
          <w:rFonts w:hint="eastAsia" w:ascii="楷体" w:hAnsi="楷体" w:eastAsia="楷体" w:cs="楷体"/>
          <w:iCs/>
          <w:sz w:val="28"/>
          <w:szCs w:val="28"/>
        </w:rPr>
        <w:t>孙伟鑫</w:t>
      </w:r>
      <w:r>
        <w:rPr>
          <w:rFonts w:hint="eastAsia" w:ascii="楷体" w:hAnsi="楷体" w:eastAsia="楷体" w:cs="楷体"/>
          <w:sz w:val="28"/>
          <w:szCs w:val="28"/>
          <w:vertAlign w:val="superscript"/>
        </w:rPr>
        <w:t>1，5</w:t>
      </w:r>
      <w:r>
        <w:rPr>
          <w:rFonts w:hint="eastAsia" w:ascii="楷体" w:hAnsi="楷体" w:eastAsia="楷体" w:cs="楷体"/>
          <w:sz w:val="28"/>
          <w:szCs w:val="28"/>
          <w:vertAlign w:val="superscript"/>
          <w:lang w:eastAsia="zh-CN"/>
        </w:rPr>
        <w:t>，</w:t>
      </w:r>
      <w:r>
        <w:rPr>
          <w:rFonts w:hint="eastAsia" w:ascii="楷体" w:hAnsi="楷体" w:eastAsia="楷体" w:cs="楷体"/>
          <w:sz w:val="28"/>
          <w:szCs w:val="28"/>
          <w:vertAlign w:val="superscript"/>
        </w:rPr>
        <w:t>*</w:t>
      </w:r>
      <w:r>
        <w:rPr>
          <w:rFonts w:hint="eastAsia" w:ascii="楷体" w:hAnsi="楷体" w:eastAsia="楷体" w:cs="楷体"/>
          <w:sz w:val="28"/>
          <w:szCs w:val="28"/>
        </w:rPr>
        <w:t>，</w:t>
      </w:r>
      <w:r>
        <w:rPr>
          <w:rFonts w:hint="eastAsia" w:ascii="楷体" w:hAnsi="楷体" w:eastAsia="楷体" w:cs="楷体"/>
          <w:iCs/>
          <w:sz w:val="28"/>
          <w:szCs w:val="28"/>
        </w:rPr>
        <w:t>齐如见</w:t>
      </w:r>
      <w:r>
        <w:rPr>
          <w:rFonts w:hint="eastAsia" w:ascii="楷体" w:hAnsi="楷体" w:eastAsia="楷体" w:cs="楷体"/>
          <w:sz w:val="28"/>
          <w:szCs w:val="28"/>
          <w:vertAlign w:val="superscript"/>
        </w:rPr>
        <w:t>4</w:t>
      </w:r>
      <w:r>
        <w:rPr>
          <w:rFonts w:hint="eastAsia" w:ascii="楷体" w:hAnsi="楷体" w:eastAsia="楷体" w:cs="楷体"/>
          <w:sz w:val="28"/>
          <w:szCs w:val="28"/>
        </w:rPr>
        <w:t>，</w:t>
      </w:r>
      <w:r>
        <w:rPr>
          <w:rFonts w:hint="eastAsia" w:ascii="楷体" w:hAnsi="楷体" w:eastAsia="楷体" w:cs="楷体"/>
          <w:iCs/>
          <w:sz w:val="28"/>
          <w:szCs w:val="28"/>
        </w:rPr>
        <w:t>陈真</w:t>
      </w:r>
      <w:r>
        <w:rPr>
          <w:rFonts w:hint="eastAsia" w:ascii="楷体" w:hAnsi="楷体" w:eastAsia="楷体" w:cs="楷体"/>
          <w:sz w:val="28"/>
          <w:szCs w:val="28"/>
          <w:vertAlign w:val="superscript"/>
        </w:rPr>
        <w:t>4</w:t>
      </w:r>
      <w:r>
        <w:rPr>
          <w:rFonts w:hint="eastAsia" w:ascii="楷体" w:hAnsi="楷体" w:eastAsia="楷体" w:cs="楷体"/>
          <w:color w:val="FF0000"/>
          <w:sz w:val="28"/>
          <w:szCs w:val="28"/>
          <w:lang w:eastAsia="zh-CN"/>
        </w:rPr>
        <w:t>(</w:t>
      </w:r>
      <w:r>
        <w:rPr>
          <w:rFonts w:hint="eastAsia" w:ascii="楷体" w:hAnsi="楷体" w:eastAsia="楷体" w:cs="楷体"/>
          <w:color w:val="FF0000"/>
          <w:sz w:val="28"/>
          <w:szCs w:val="28"/>
          <w:lang w:val="en-US" w:eastAsia="zh-CN"/>
        </w:rPr>
        <w:t>14pt, KaiTi</w:t>
      </w:r>
      <w:r>
        <w:rPr>
          <w:rFonts w:hint="eastAsia" w:ascii="楷体" w:hAnsi="楷体" w:eastAsia="楷体" w:cs="楷体"/>
          <w:color w:val="FF0000"/>
          <w:sz w:val="28"/>
          <w:szCs w:val="28"/>
          <w:lang w:eastAsia="zh-CN"/>
        </w:rPr>
        <w:t>)</w:t>
      </w:r>
    </w:p>
    <w:p w14:paraId="5C527F96">
      <w:pPr>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楷体" w:hAnsi="楷体" w:eastAsia="楷体" w:cs="楷体"/>
          <w:sz w:val="21"/>
          <w:szCs w:val="21"/>
        </w:rPr>
      </w:pPr>
      <w:r>
        <w:rPr>
          <w:rFonts w:hint="eastAsia" w:ascii="楷体" w:hAnsi="楷体" w:eastAsia="楷体" w:cs="楷体"/>
          <w:sz w:val="21"/>
          <w:szCs w:val="21"/>
          <w:lang w:eastAsia="zh-CN"/>
        </w:rPr>
        <w:t>(</w:t>
      </w:r>
      <w:r>
        <w:rPr>
          <w:rFonts w:hint="eastAsia" w:ascii="楷体" w:hAnsi="楷体" w:eastAsia="楷体" w:cs="楷体"/>
          <w:sz w:val="21"/>
          <w:szCs w:val="21"/>
        </w:rPr>
        <w:t>1. 重庆大学 土木工程学院，重庆 400045；2. 重庆大学 山区土木工程安全与韧性全国重点实验室，重庆 400045；3. 重庆铁路投资集团有限公司，重庆 400023；4. 中铁隧道集团一处有限公司，重庆 401123；5. 重庆大学 航空航天学院，重庆 400044</w:t>
      </w:r>
      <w:r>
        <w:rPr>
          <w:rFonts w:hint="eastAsia" w:ascii="楷体" w:hAnsi="楷体" w:eastAsia="楷体" w:cs="楷体"/>
          <w:sz w:val="21"/>
          <w:szCs w:val="21"/>
          <w:lang w:eastAsia="zh-CN"/>
        </w:rPr>
        <w:t>)</w:t>
      </w:r>
      <w:r>
        <w:rPr>
          <w:rFonts w:hint="eastAsia" w:ascii="楷体" w:hAnsi="楷体" w:eastAsia="楷体" w:cs="楷体"/>
          <w:color w:val="FF0000"/>
          <w:sz w:val="21"/>
          <w:szCs w:val="21"/>
          <w:lang w:eastAsia="zh-CN"/>
        </w:rPr>
        <w:t>(</w:t>
      </w:r>
      <w:r>
        <w:rPr>
          <w:rFonts w:hint="eastAsia" w:ascii="楷体" w:hAnsi="楷体" w:eastAsia="楷体" w:cs="楷体"/>
          <w:color w:val="FF0000"/>
          <w:sz w:val="21"/>
          <w:szCs w:val="21"/>
          <w:lang w:val="en-US" w:eastAsia="zh-CN"/>
        </w:rPr>
        <w:t>10.5pt, KaiTi</w:t>
      </w:r>
      <w:r>
        <w:rPr>
          <w:rFonts w:hint="eastAsia" w:ascii="楷体" w:hAnsi="楷体" w:eastAsia="楷体" w:cs="楷体"/>
          <w:color w:val="FF0000"/>
          <w:sz w:val="21"/>
          <w:szCs w:val="21"/>
          <w:lang w:eastAsia="zh-CN"/>
        </w:rPr>
        <w:t>)</w:t>
      </w:r>
    </w:p>
    <w:p w14:paraId="1B071B00">
      <w:pPr>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eastAsia" w:ascii="Times New Roman" w:hAnsi="方正楷体简体" w:eastAsia="方正楷体简体" w:cs="方正楷体简体"/>
          <w:iCs/>
          <w:color w:val="FF0000"/>
          <w:kern w:val="2"/>
          <w:sz w:val="18"/>
          <w:szCs w:val="18"/>
          <w:lang w:val="en-US" w:eastAsia="zh-CN" w:bidi="ar"/>
          <w14:ligatures w14:val="standardContextual"/>
        </w:rPr>
      </w:pPr>
      <w:r>
        <w:rPr>
          <w:rFonts w:hint="eastAsia" w:ascii="黑体" w:hAnsi="黑体" w:eastAsia="黑体" w:cs="黑体"/>
          <w:b w:val="0"/>
          <w:bCs w:val="0"/>
          <w:sz w:val="18"/>
          <w:szCs w:val="18"/>
        </w:rPr>
        <w:t>摘要</w:t>
      </w:r>
      <w:r>
        <w:rPr>
          <w:rFonts w:hint="eastAsia" w:ascii="黑体" w:hAnsi="黑体" w:eastAsia="黑体" w:cs="黑体"/>
          <w:iCs/>
          <w:color w:val="FF0000"/>
          <w:kern w:val="2"/>
          <w:sz w:val="18"/>
          <w:szCs w:val="18"/>
          <w:lang w:val="en-US" w:eastAsia="zh-CN" w:bidi="ar"/>
          <w14:ligatures w14:val="standardContextual"/>
        </w:rPr>
        <w:t>(9pt, SimHei)</w:t>
      </w:r>
      <w:r>
        <w:rPr>
          <w:rFonts w:ascii="Times New Roman" w:eastAsia="宋体"/>
          <w:sz w:val="24"/>
        </w:rPr>
        <w:t>：</w:t>
      </w:r>
      <w:bookmarkStart w:id="1" w:name="_Hlk194187129"/>
      <w:r>
        <w:rPr>
          <w:rFonts w:hint="eastAsia" w:ascii="宋体" w:hAnsi="宋体" w:eastAsia="宋体" w:cs="宋体"/>
          <w:sz w:val="18"/>
          <w:szCs w:val="18"/>
        </w:rPr>
        <w:t>透明土技术</w:t>
      </w:r>
      <w:r>
        <w:rPr>
          <w:rFonts w:hint="eastAsia" w:ascii="宋体" w:hAnsi="宋体" w:eastAsia="宋体" w:cs="宋体"/>
          <w:iCs/>
          <w:sz w:val="18"/>
          <w:szCs w:val="18"/>
        </w:rPr>
        <w:t>为</w:t>
      </w:r>
      <w:r>
        <w:rPr>
          <w:rFonts w:hint="eastAsia" w:ascii="宋体" w:hAnsi="宋体" w:eastAsia="宋体" w:cs="宋体"/>
          <w:sz w:val="18"/>
          <w:szCs w:val="18"/>
        </w:rPr>
        <w:t>隧道</w:t>
      </w:r>
      <w:r>
        <w:rPr>
          <w:rFonts w:hint="eastAsia" w:ascii="宋体" w:hAnsi="宋体" w:eastAsia="宋体" w:cs="宋体"/>
          <w:iCs/>
          <w:sz w:val="18"/>
          <w:szCs w:val="18"/>
        </w:rPr>
        <w:t>岩土工程</w:t>
      </w:r>
      <w:r>
        <w:rPr>
          <w:rFonts w:hint="eastAsia" w:ascii="宋体" w:hAnsi="宋体" w:eastAsia="宋体" w:cs="宋体"/>
          <w:sz w:val="18"/>
          <w:szCs w:val="18"/>
        </w:rPr>
        <w:t>模型试验</w:t>
      </w:r>
      <w:r>
        <w:rPr>
          <w:rFonts w:hint="eastAsia" w:ascii="宋体" w:hAnsi="宋体" w:eastAsia="宋体" w:cs="宋体"/>
          <w:iCs/>
          <w:sz w:val="18"/>
          <w:szCs w:val="18"/>
        </w:rPr>
        <w:t>提供了可视化介质与方法，但既有研究多聚焦于单一材料研发或特定工况适配，系统梳理与</w:t>
      </w:r>
      <w:r>
        <w:rPr>
          <w:rFonts w:hint="eastAsia" w:ascii="宋体" w:hAnsi="宋体" w:eastAsia="宋体" w:cs="宋体"/>
          <w:sz w:val="18"/>
          <w:szCs w:val="18"/>
        </w:rPr>
        <w:t>总览性说明</w:t>
      </w:r>
      <w:r>
        <w:rPr>
          <w:rFonts w:hint="eastAsia" w:ascii="宋体" w:hAnsi="宋体" w:eastAsia="宋体" w:cs="宋体"/>
          <w:iCs/>
          <w:sz w:val="18"/>
          <w:szCs w:val="18"/>
        </w:rPr>
        <w:t>仍显不足。</w:t>
      </w:r>
      <w:r>
        <w:rPr>
          <w:rFonts w:hint="eastAsia" w:ascii="宋体" w:hAnsi="宋体" w:eastAsia="宋体" w:cs="宋体"/>
          <w:sz w:val="18"/>
          <w:szCs w:val="18"/>
        </w:rPr>
        <w:t>本文</w:t>
      </w:r>
      <w:r>
        <w:rPr>
          <w:rFonts w:hint="eastAsia" w:ascii="宋体" w:hAnsi="宋体" w:eastAsia="宋体" w:cs="宋体"/>
          <w:iCs/>
          <w:sz w:val="18"/>
          <w:szCs w:val="18"/>
        </w:rPr>
        <w:t>围绕“材料</w:t>
      </w:r>
      <w:r>
        <w:rPr>
          <w:rFonts w:hint="eastAsia" w:ascii="宋体" w:hAnsi="宋体" w:eastAsia="宋体" w:cs="宋体"/>
          <w:sz w:val="18"/>
          <w:szCs w:val="18"/>
        </w:rPr>
        <w:t>—</w:t>
      </w:r>
      <w:r>
        <w:rPr>
          <w:rFonts w:hint="eastAsia" w:ascii="宋体" w:hAnsi="宋体" w:eastAsia="宋体" w:cs="宋体"/>
          <w:iCs/>
          <w:sz w:val="18"/>
          <w:szCs w:val="18"/>
        </w:rPr>
        <w:t>光学</w:t>
      </w:r>
      <w:r>
        <w:rPr>
          <w:rFonts w:hint="eastAsia" w:ascii="宋体" w:hAnsi="宋体" w:eastAsia="宋体" w:cs="宋体"/>
          <w:sz w:val="18"/>
          <w:szCs w:val="18"/>
        </w:rPr>
        <w:t>—</w:t>
      </w:r>
      <w:r>
        <w:rPr>
          <w:rFonts w:hint="eastAsia" w:ascii="宋体" w:hAnsi="宋体" w:eastAsia="宋体" w:cs="宋体"/>
          <w:iCs/>
          <w:sz w:val="18"/>
          <w:szCs w:val="18"/>
        </w:rPr>
        <w:t>试验应用</w:t>
      </w:r>
      <w:r>
        <w:rPr>
          <w:rFonts w:hint="eastAsia" w:ascii="宋体" w:hAnsi="宋体" w:eastAsia="宋体" w:cs="宋体"/>
          <w:sz w:val="18"/>
          <w:szCs w:val="18"/>
        </w:rPr>
        <w:t>—</w:t>
      </w:r>
      <w:r>
        <w:rPr>
          <w:rFonts w:hint="eastAsia" w:ascii="宋体" w:hAnsi="宋体" w:eastAsia="宋体" w:cs="宋体"/>
          <w:iCs/>
          <w:sz w:val="18"/>
          <w:szCs w:val="18"/>
        </w:rPr>
        <w:t>评估”四个维度，</w:t>
      </w:r>
      <w:r>
        <w:rPr>
          <w:rFonts w:hint="eastAsia" w:ascii="宋体" w:hAnsi="宋体" w:eastAsia="宋体" w:cs="宋体"/>
          <w:sz w:val="18"/>
          <w:szCs w:val="18"/>
        </w:rPr>
        <w:t>对</w:t>
      </w:r>
      <w:r>
        <w:rPr>
          <w:rFonts w:hint="eastAsia" w:ascii="宋体" w:hAnsi="宋体" w:eastAsia="宋体" w:cs="宋体"/>
          <w:iCs/>
          <w:sz w:val="18"/>
          <w:szCs w:val="18"/>
        </w:rPr>
        <w:t>以</w:t>
      </w:r>
      <w:r>
        <w:rPr>
          <w:rFonts w:hint="eastAsia" w:ascii="宋体" w:hAnsi="宋体" w:eastAsia="宋体" w:cs="宋体"/>
          <w:sz w:val="18"/>
          <w:szCs w:val="18"/>
        </w:rPr>
        <w:t>透明土材料</w:t>
      </w:r>
      <w:r>
        <w:rPr>
          <w:rFonts w:hint="eastAsia" w:ascii="宋体" w:hAnsi="宋体" w:eastAsia="宋体" w:cs="宋体"/>
          <w:iCs/>
          <w:sz w:val="18"/>
          <w:szCs w:val="18"/>
        </w:rPr>
        <w:t>为核心</w:t>
      </w:r>
      <w:r>
        <w:rPr>
          <w:rFonts w:hint="eastAsia" w:ascii="宋体" w:hAnsi="宋体" w:eastAsia="宋体" w:cs="宋体"/>
          <w:sz w:val="18"/>
          <w:szCs w:val="18"/>
        </w:rPr>
        <w:t>的</w:t>
      </w:r>
      <w:r>
        <w:rPr>
          <w:rFonts w:hint="eastAsia" w:ascii="宋体" w:hAnsi="宋体" w:eastAsia="宋体" w:cs="宋体"/>
          <w:iCs/>
          <w:sz w:val="18"/>
          <w:szCs w:val="18"/>
        </w:rPr>
        <w:t>隧道工程</w:t>
      </w:r>
      <w:r>
        <w:rPr>
          <w:rFonts w:hint="eastAsia" w:ascii="宋体" w:hAnsi="宋体" w:eastAsia="宋体" w:cs="宋体"/>
          <w:sz w:val="18"/>
          <w:szCs w:val="18"/>
        </w:rPr>
        <w:t>模型试验</w:t>
      </w:r>
      <w:r>
        <w:rPr>
          <w:rFonts w:hint="eastAsia" w:ascii="宋体" w:hAnsi="宋体" w:eastAsia="宋体" w:cs="宋体"/>
          <w:iCs/>
          <w:sz w:val="18"/>
          <w:szCs w:val="18"/>
        </w:rPr>
        <w:t>技术</w:t>
      </w:r>
      <w:r>
        <w:rPr>
          <w:rFonts w:hint="eastAsia" w:ascii="宋体" w:hAnsi="宋体" w:eastAsia="宋体" w:cs="宋体"/>
          <w:sz w:val="18"/>
          <w:szCs w:val="18"/>
        </w:rPr>
        <w:t>进行</w:t>
      </w:r>
      <w:r>
        <w:rPr>
          <w:rFonts w:hint="eastAsia" w:ascii="宋体" w:hAnsi="宋体" w:eastAsia="宋体" w:cs="宋体"/>
          <w:iCs/>
          <w:sz w:val="18"/>
          <w:szCs w:val="18"/>
        </w:rPr>
        <w:t>系统</w:t>
      </w:r>
      <w:r>
        <w:rPr>
          <w:rFonts w:hint="eastAsia" w:ascii="宋体" w:hAnsi="宋体" w:eastAsia="宋体" w:cs="宋体"/>
          <w:sz w:val="18"/>
          <w:szCs w:val="18"/>
        </w:rPr>
        <w:t>阐述：</w:t>
      </w:r>
      <w:bookmarkEnd w:id="1"/>
      <w:bookmarkStart w:id="2" w:name="_Hlk194187105"/>
      <w:r>
        <w:rPr>
          <w:rFonts w:hint="eastAsia" w:ascii="宋体" w:hAnsi="宋体" w:eastAsia="宋体" w:cs="宋体"/>
          <w:sz w:val="18"/>
          <w:szCs w:val="18"/>
        </w:rPr>
        <w:t>1</w:t>
      </w:r>
      <w:r>
        <w:rPr>
          <w:rFonts w:hint="eastAsia" w:ascii="宋体" w:hAnsi="宋体" w:eastAsia="宋体" w:cs="宋体"/>
          <w:sz w:val="18"/>
          <w:szCs w:val="18"/>
          <w:lang w:eastAsia="zh-CN"/>
        </w:rPr>
        <w:t>)</w:t>
      </w:r>
      <w:r>
        <w:rPr>
          <w:rFonts w:hint="eastAsia" w:ascii="宋体" w:hAnsi="宋体" w:eastAsia="宋体" w:cs="宋体"/>
          <w:iCs/>
          <w:sz w:val="18"/>
          <w:szCs w:val="18"/>
        </w:rPr>
        <w:t>材料层面，</w:t>
      </w:r>
      <w:r>
        <w:rPr>
          <w:rFonts w:hint="eastAsia" w:ascii="宋体" w:hAnsi="宋体" w:eastAsia="宋体" w:cs="宋体"/>
          <w:sz w:val="18"/>
          <w:szCs w:val="18"/>
        </w:rPr>
        <w:t>梳理透明土材料研发的演进脉络，归纳砂土</w:t>
      </w:r>
      <w:r>
        <w:rPr>
          <w:rFonts w:hint="eastAsia" w:ascii="宋体" w:hAnsi="宋体" w:eastAsia="宋体" w:cs="宋体"/>
          <w:iCs/>
          <w:sz w:val="18"/>
          <w:szCs w:val="18"/>
        </w:rPr>
        <w:t>型</w:t>
      </w:r>
      <w:r>
        <w:rPr>
          <w:rFonts w:hint="eastAsia" w:ascii="宋体" w:hAnsi="宋体" w:eastAsia="宋体" w:cs="宋体"/>
          <w:sz w:val="18"/>
          <w:szCs w:val="18"/>
        </w:rPr>
        <w:t>、黏土</w:t>
      </w:r>
      <w:r>
        <w:rPr>
          <w:rFonts w:hint="eastAsia" w:ascii="宋体" w:hAnsi="宋体" w:eastAsia="宋体" w:cs="宋体"/>
          <w:iCs/>
          <w:sz w:val="18"/>
          <w:szCs w:val="18"/>
        </w:rPr>
        <w:t>型及</w:t>
      </w:r>
      <w:r>
        <w:rPr>
          <w:rFonts w:hint="eastAsia" w:ascii="宋体" w:hAnsi="宋体" w:eastAsia="宋体" w:cs="宋体"/>
          <w:sz w:val="18"/>
          <w:szCs w:val="18"/>
        </w:rPr>
        <w:t>类</w:t>
      </w:r>
      <w:r>
        <w:rPr>
          <w:rFonts w:hint="eastAsia" w:ascii="宋体" w:hAnsi="宋体" w:eastAsia="宋体" w:cs="宋体"/>
          <w:iCs/>
          <w:sz w:val="18"/>
          <w:szCs w:val="18"/>
        </w:rPr>
        <w:t>岩型</w:t>
      </w:r>
      <w:r>
        <w:rPr>
          <w:rFonts w:hint="eastAsia" w:ascii="宋体" w:hAnsi="宋体" w:eastAsia="宋体" w:cs="宋体"/>
          <w:sz w:val="18"/>
          <w:szCs w:val="18"/>
        </w:rPr>
        <w:t>透明土材料的组分特征及其物理力学参数匹配原则，</w:t>
      </w:r>
      <w:r>
        <w:rPr>
          <w:rFonts w:hint="eastAsia" w:ascii="宋体" w:hAnsi="宋体" w:eastAsia="宋体" w:cs="宋体"/>
          <w:iCs/>
          <w:sz w:val="18"/>
          <w:szCs w:val="18"/>
        </w:rPr>
        <w:t>提炼</w:t>
      </w:r>
      <w:r>
        <w:rPr>
          <w:rFonts w:hint="eastAsia" w:ascii="宋体" w:hAnsi="宋体" w:eastAsia="宋体" w:cs="宋体"/>
          <w:sz w:val="18"/>
          <w:szCs w:val="18"/>
        </w:rPr>
        <w:t>材料制备</w:t>
      </w:r>
      <w:r>
        <w:rPr>
          <w:rFonts w:hint="eastAsia" w:ascii="宋体" w:hAnsi="宋体" w:eastAsia="宋体" w:cs="宋体"/>
          <w:iCs/>
          <w:sz w:val="18"/>
          <w:szCs w:val="18"/>
        </w:rPr>
        <w:t>与调参</w:t>
      </w:r>
      <w:r>
        <w:rPr>
          <w:rFonts w:hint="eastAsia" w:ascii="宋体" w:hAnsi="宋体" w:eastAsia="宋体" w:cs="宋体"/>
          <w:sz w:val="18"/>
          <w:szCs w:val="18"/>
        </w:rPr>
        <w:t>的</w:t>
      </w:r>
      <w:r>
        <w:rPr>
          <w:rFonts w:hint="eastAsia" w:ascii="宋体" w:hAnsi="宋体" w:eastAsia="宋体" w:cs="宋体"/>
          <w:iCs/>
          <w:sz w:val="18"/>
          <w:szCs w:val="18"/>
        </w:rPr>
        <w:t>关键</w:t>
      </w:r>
      <w:r>
        <w:rPr>
          <w:rFonts w:hint="eastAsia" w:ascii="宋体" w:hAnsi="宋体" w:eastAsia="宋体" w:cs="宋体"/>
          <w:sz w:val="18"/>
          <w:szCs w:val="18"/>
        </w:rPr>
        <w:t>要素；2</w:t>
      </w:r>
      <w:r>
        <w:rPr>
          <w:rFonts w:hint="eastAsia" w:ascii="宋体" w:hAnsi="宋体" w:eastAsia="宋体" w:cs="宋体"/>
          <w:sz w:val="18"/>
          <w:szCs w:val="18"/>
          <w:lang w:eastAsia="zh-CN"/>
        </w:rPr>
        <w:t>)</w:t>
      </w:r>
      <w:r>
        <w:rPr>
          <w:rFonts w:hint="eastAsia" w:ascii="宋体" w:hAnsi="宋体" w:eastAsia="宋体" w:cs="宋体"/>
          <w:iCs/>
          <w:sz w:val="18"/>
          <w:szCs w:val="18"/>
        </w:rPr>
        <w:t>光学层面，阐明</w:t>
      </w:r>
      <w:r>
        <w:rPr>
          <w:rFonts w:hint="eastAsia" w:ascii="宋体" w:hAnsi="宋体" w:eastAsia="宋体" w:cs="宋体"/>
          <w:sz w:val="18"/>
          <w:szCs w:val="18"/>
        </w:rPr>
        <w:t>透明土模型试验的光学基础，从透明土透明度、模型箱尺寸、激光器参数、光学测量技术</w:t>
      </w:r>
      <w:r>
        <w:rPr>
          <w:rFonts w:hint="eastAsia" w:ascii="宋体" w:hAnsi="宋体" w:eastAsia="宋体" w:cs="宋体"/>
          <w:iCs/>
          <w:sz w:val="18"/>
          <w:szCs w:val="18"/>
        </w:rPr>
        <w:t>与</w:t>
      </w:r>
      <w:r>
        <w:rPr>
          <w:rFonts w:hint="eastAsia" w:ascii="宋体" w:hAnsi="宋体" w:eastAsia="宋体" w:cs="宋体"/>
          <w:sz w:val="18"/>
          <w:szCs w:val="18"/>
        </w:rPr>
        <w:t>人工制斑技术等试验重要组分进行</w:t>
      </w:r>
      <w:r>
        <w:rPr>
          <w:rFonts w:hint="eastAsia" w:ascii="宋体" w:hAnsi="宋体" w:eastAsia="宋体" w:cs="宋体"/>
          <w:iCs/>
          <w:sz w:val="18"/>
          <w:szCs w:val="18"/>
        </w:rPr>
        <w:t>归纳，并比较DIC/PIV等测量方法的适用区间</w:t>
      </w:r>
      <w:r>
        <w:rPr>
          <w:rFonts w:hint="eastAsia" w:ascii="宋体" w:hAnsi="宋体" w:eastAsia="宋体" w:cs="宋体"/>
          <w:sz w:val="18"/>
          <w:szCs w:val="18"/>
        </w:rPr>
        <w:t>；3</w:t>
      </w:r>
      <w:r>
        <w:rPr>
          <w:rFonts w:hint="eastAsia" w:ascii="宋体" w:hAnsi="宋体" w:eastAsia="宋体" w:cs="宋体"/>
          <w:sz w:val="18"/>
          <w:szCs w:val="18"/>
          <w:lang w:eastAsia="zh-CN"/>
        </w:rPr>
        <w:t>)</w:t>
      </w:r>
      <w:r>
        <w:rPr>
          <w:rFonts w:hint="eastAsia" w:ascii="宋体" w:hAnsi="宋体" w:eastAsia="宋体" w:cs="宋体"/>
          <w:iCs/>
          <w:sz w:val="18"/>
          <w:szCs w:val="18"/>
        </w:rPr>
        <w:t>试验层面，</w:t>
      </w:r>
      <w:r>
        <w:rPr>
          <w:rFonts w:hint="eastAsia" w:ascii="宋体" w:hAnsi="宋体" w:eastAsia="宋体" w:cs="宋体"/>
          <w:sz w:val="18"/>
          <w:szCs w:val="18"/>
        </w:rPr>
        <w:t>综合</w:t>
      </w:r>
      <w:r>
        <w:rPr>
          <w:rFonts w:hint="eastAsia" w:ascii="宋体" w:hAnsi="宋体" w:eastAsia="宋体" w:cs="宋体"/>
          <w:iCs/>
          <w:sz w:val="18"/>
          <w:szCs w:val="18"/>
        </w:rPr>
        <w:t>梳理</w:t>
      </w:r>
      <w:r>
        <w:rPr>
          <w:rFonts w:hint="eastAsia" w:ascii="宋体" w:hAnsi="宋体" w:eastAsia="宋体" w:cs="宋体"/>
          <w:sz w:val="18"/>
          <w:szCs w:val="18"/>
        </w:rPr>
        <w:t>透明土材料在隧道</w:t>
      </w:r>
      <w:r>
        <w:rPr>
          <w:rFonts w:hint="eastAsia" w:ascii="宋体" w:hAnsi="宋体" w:eastAsia="宋体" w:cs="宋体"/>
          <w:iCs/>
          <w:sz w:val="18"/>
          <w:szCs w:val="18"/>
        </w:rPr>
        <w:t>岩土工程</w:t>
      </w:r>
      <w:r>
        <w:rPr>
          <w:rFonts w:hint="eastAsia" w:ascii="宋体" w:hAnsi="宋体" w:eastAsia="宋体" w:cs="宋体"/>
          <w:sz w:val="18"/>
          <w:szCs w:val="18"/>
        </w:rPr>
        <w:t>模型试验中的</w:t>
      </w:r>
      <w:r>
        <w:rPr>
          <w:rFonts w:hint="eastAsia" w:ascii="宋体" w:hAnsi="宋体" w:eastAsia="宋体" w:cs="宋体"/>
          <w:iCs/>
          <w:sz w:val="18"/>
          <w:szCs w:val="18"/>
        </w:rPr>
        <w:t>典型</w:t>
      </w:r>
      <w:r>
        <w:rPr>
          <w:rFonts w:hint="eastAsia" w:ascii="宋体" w:hAnsi="宋体" w:eastAsia="宋体" w:cs="宋体"/>
          <w:sz w:val="18"/>
          <w:szCs w:val="18"/>
        </w:rPr>
        <w:t>应用实例，</w:t>
      </w:r>
      <w:r>
        <w:rPr>
          <w:rFonts w:hint="eastAsia" w:ascii="宋体" w:hAnsi="宋体" w:eastAsia="宋体" w:cs="宋体"/>
          <w:iCs/>
          <w:sz w:val="18"/>
          <w:szCs w:val="18"/>
        </w:rPr>
        <w:t>涵盖</w:t>
      </w:r>
      <w:r>
        <w:rPr>
          <w:rFonts w:hint="eastAsia" w:ascii="宋体" w:hAnsi="宋体" w:eastAsia="宋体" w:cs="宋体"/>
          <w:sz w:val="18"/>
          <w:szCs w:val="18"/>
        </w:rPr>
        <w:t>隧道开挖面稳定性、注浆扩散</w:t>
      </w:r>
      <w:r>
        <w:rPr>
          <w:rFonts w:hint="eastAsia" w:ascii="宋体" w:hAnsi="宋体" w:eastAsia="宋体" w:cs="宋体"/>
          <w:iCs/>
          <w:sz w:val="18"/>
          <w:szCs w:val="18"/>
        </w:rPr>
        <w:t>与</w:t>
      </w:r>
      <w:r>
        <w:rPr>
          <w:rFonts w:hint="eastAsia" w:ascii="宋体" w:hAnsi="宋体" w:eastAsia="宋体" w:cs="宋体"/>
          <w:sz w:val="18"/>
          <w:szCs w:val="18"/>
        </w:rPr>
        <w:t>施工诱发地层变形等研究</w:t>
      </w:r>
      <w:r>
        <w:rPr>
          <w:rFonts w:hint="eastAsia" w:ascii="宋体" w:hAnsi="宋体" w:eastAsia="宋体" w:cs="宋体"/>
          <w:iCs/>
          <w:sz w:val="18"/>
          <w:szCs w:val="18"/>
        </w:rPr>
        <w:t>，并提取可迁移应用的试验规律</w:t>
      </w:r>
      <w:r>
        <w:rPr>
          <w:rFonts w:hint="eastAsia" w:ascii="宋体" w:hAnsi="宋体" w:eastAsia="宋体" w:cs="宋体"/>
          <w:sz w:val="18"/>
          <w:szCs w:val="18"/>
        </w:rPr>
        <w:t>；</w:t>
      </w:r>
      <w:bookmarkStart w:id="3" w:name="_Hlk194187224"/>
      <w:r>
        <w:rPr>
          <w:rFonts w:hint="eastAsia" w:ascii="宋体" w:hAnsi="宋体" w:eastAsia="宋体" w:cs="宋体"/>
          <w:sz w:val="18"/>
          <w:szCs w:val="18"/>
        </w:rPr>
        <w:t>4</w:t>
      </w:r>
      <w:r>
        <w:rPr>
          <w:rFonts w:hint="eastAsia" w:ascii="宋体" w:hAnsi="宋体" w:eastAsia="宋体" w:cs="宋体"/>
          <w:sz w:val="18"/>
          <w:szCs w:val="18"/>
          <w:lang w:eastAsia="zh-CN"/>
        </w:rPr>
        <w:t>)</w:t>
      </w:r>
      <w:r>
        <w:rPr>
          <w:rFonts w:hint="eastAsia" w:ascii="宋体" w:hAnsi="宋体" w:eastAsia="宋体" w:cs="宋体"/>
          <w:iCs/>
          <w:sz w:val="18"/>
          <w:szCs w:val="18"/>
        </w:rPr>
        <w:t>评估与展望方面，指出</w:t>
      </w:r>
      <w:r>
        <w:rPr>
          <w:rFonts w:hint="eastAsia" w:ascii="宋体" w:hAnsi="宋体" w:eastAsia="宋体" w:cs="宋体"/>
          <w:sz w:val="18"/>
          <w:szCs w:val="18"/>
        </w:rPr>
        <w:t>透明土材料</w:t>
      </w:r>
      <w:r>
        <w:rPr>
          <w:rFonts w:hint="eastAsia" w:ascii="宋体" w:hAnsi="宋体" w:eastAsia="宋体" w:cs="宋体"/>
          <w:iCs/>
          <w:sz w:val="18"/>
          <w:szCs w:val="18"/>
        </w:rPr>
        <w:t>等效性的局限、</w:t>
      </w:r>
      <w:r>
        <w:rPr>
          <w:rFonts w:hint="eastAsia" w:ascii="宋体" w:hAnsi="宋体" w:eastAsia="宋体" w:cs="宋体"/>
          <w:sz w:val="18"/>
          <w:szCs w:val="18"/>
        </w:rPr>
        <w:t>透光性</w:t>
      </w:r>
      <w:r>
        <w:rPr>
          <w:rFonts w:hint="eastAsia" w:ascii="宋体" w:hAnsi="宋体" w:eastAsia="宋体" w:cs="宋体"/>
          <w:iCs/>
          <w:sz w:val="18"/>
          <w:szCs w:val="18"/>
        </w:rPr>
        <w:t>对模型尺度的约束</w:t>
      </w:r>
      <w:r>
        <w:rPr>
          <w:rFonts w:hint="eastAsia" w:ascii="宋体" w:hAnsi="宋体" w:eastAsia="宋体" w:cs="宋体"/>
          <w:sz w:val="18"/>
          <w:szCs w:val="18"/>
        </w:rPr>
        <w:t>、制斑稳定性不足</w:t>
      </w:r>
      <w:r>
        <w:rPr>
          <w:rFonts w:hint="eastAsia" w:ascii="宋体" w:hAnsi="宋体" w:eastAsia="宋体" w:cs="宋体"/>
          <w:iCs/>
          <w:sz w:val="18"/>
          <w:szCs w:val="18"/>
        </w:rPr>
        <w:t>以及</w:t>
      </w:r>
      <w:r>
        <w:rPr>
          <w:rFonts w:hint="eastAsia" w:ascii="宋体" w:hAnsi="宋体" w:eastAsia="宋体" w:cs="宋体"/>
          <w:sz w:val="18"/>
          <w:szCs w:val="18"/>
        </w:rPr>
        <w:t>试验系统成本较高等可能存在的发展问题</w:t>
      </w:r>
      <w:bookmarkEnd w:id="3"/>
      <w:r>
        <w:rPr>
          <w:rFonts w:hint="eastAsia" w:ascii="宋体" w:hAnsi="宋体" w:eastAsia="宋体" w:cs="宋体"/>
          <w:sz w:val="18"/>
          <w:szCs w:val="18"/>
        </w:rPr>
        <w:t>；</w:t>
      </w:r>
      <w:bookmarkEnd w:id="2"/>
      <w:r>
        <w:rPr>
          <w:rFonts w:hint="eastAsia" w:ascii="宋体" w:hAnsi="宋体" w:eastAsia="宋体" w:cs="宋体"/>
          <w:sz w:val="18"/>
          <w:szCs w:val="18"/>
        </w:rPr>
        <w:t>同时提出了适用于透明土材料的反应性评价指标的“等效性校准三步骤”、光学测量技术选用参考</w:t>
      </w:r>
      <w:r>
        <w:rPr>
          <w:rFonts w:hint="eastAsia" w:ascii="宋体" w:hAnsi="宋体" w:eastAsia="宋体" w:cs="宋体"/>
          <w:iCs/>
          <w:sz w:val="18"/>
          <w:szCs w:val="18"/>
        </w:rPr>
        <w:t>及</w:t>
      </w:r>
      <w:r>
        <w:rPr>
          <w:rFonts w:hint="eastAsia" w:ascii="宋体" w:hAnsi="宋体" w:eastAsia="宋体" w:cs="宋体"/>
          <w:sz w:val="18"/>
          <w:szCs w:val="18"/>
        </w:rPr>
        <w:t>新型透明土材料开发等</w:t>
      </w:r>
      <w:r>
        <w:rPr>
          <w:rFonts w:hint="eastAsia" w:ascii="宋体" w:hAnsi="宋体" w:eastAsia="宋体" w:cs="宋体"/>
          <w:iCs/>
          <w:sz w:val="18"/>
          <w:szCs w:val="18"/>
        </w:rPr>
        <w:t>实用方法与</w:t>
      </w:r>
      <w:r>
        <w:rPr>
          <w:rFonts w:hint="eastAsia" w:ascii="宋体" w:hAnsi="宋体" w:eastAsia="宋体" w:cs="宋体"/>
          <w:sz w:val="18"/>
          <w:szCs w:val="18"/>
        </w:rPr>
        <w:t>建议</w:t>
      </w:r>
      <w:r>
        <w:rPr>
          <w:rFonts w:hint="eastAsia" w:ascii="宋体" w:hAnsi="宋体" w:eastAsia="宋体" w:cs="宋体"/>
          <w:iCs/>
          <w:sz w:val="18"/>
          <w:szCs w:val="18"/>
        </w:rPr>
        <w:t>，以拓展其在应对前所未有之工况时的工程可比性与类推性</w:t>
      </w:r>
      <w:r>
        <w:rPr>
          <w:rFonts w:hint="eastAsia" w:ascii="宋体" w:hAnsi="宋体" w:eastAsia="宋体" w:cs="宋体"/>
          <w:sz w:val="18"/>
          <w:szCs w:val="18"/>
        </w:rPr>
        <w:t>。</w:t>
      </w:r>
      <w:r>
        <w:rPr>
          <w:rFonts w:hint="eastAsia" w:ascii="宋体" w:hAnsi="宋体" w:eastAsia="宋体" w:cs="宋体"/>
          <w:iCs/>
          <w:color w:val="FF0000"/>
          <w:kern w:val="2"/>
          <w:sz w:val="18"/>
          <w:szCs w:val="18"/>
          <w:lang w:val="en-US" w:eastAsia="zh-CN" w:bidi="ar"/>
          <w14:ligatures w14:val="standardContextual"/>
        </w:rPr>
        <w:t>(9pt, FZShuSong-Z02S)</w:t>
      </w:r>
    </w:p>
    <w:p w14:paraId="46E05A7F">
      <w:pPr>
        <w:keepLines w:val="0"/>
        <w:pageBreakBefore w:val="0"/>
        <w:kinsoku/>
        <w:wordWrap/>
        <w:overflowPunct/>
        <w:topLinePunct w:val="0"/>
        <w:autoSpaceDE/>
        <w:autoSpaceDN/>
        <w:bidi w:val="0"/>
        <w:adjustRightInd w:val="0"/>
        <w:snapToGrid w:val="0"/>
        <w:spacing w:line="240" w:lineRule="auto"/>
        <w:ind w:firstLine="0" w:firstLineChars="0"/>
        <w:textAlignment w:val="auto"/>
        <w:rPr>
          <w:rFonts w:ascii="Times New Roman" w:eastAsia="宋体"/>
          <w:sz w:val="24"/>
        </w:rPr>
      </w:pPr>
      <w:r>
        <w:rPr>
          <w:rFonts w:hint="eastAsia" w:ascii="黑体" w:hAnsi="黑体" w:eastAsia="黑体" w:cs="黑体"/>
          <w:b w:val="0"/>
          <w:bCs w:val="0"/>
          <w:sz w:val="18"/>
          <w:szCs w:val="18"/>
        </w:rPr>
        <w:t>关键词</w:t>
      </w:r>
      <w:r>
        <w:rPr>
          <w:rFonts w:hint="eastAsia" w:ascii="黑体" w:hAnsi="黑体" w:eastAsia="黑体" w:cs="黑体"/>
          <w:iCs/>
          <w:color w:val="FF0000"/>
          <w:kern w:val="2"/>
          <w:sz w:val="18"/>
          <w:szCs w:val="18"/>
          <w:lang w:val="en-US" w:eastAsia="zh-CN" w:bidi="ar"/>
          <w14:ligatures w14:val="standardContextual"/>
        </w:rPr>
        <w:t>(9pt, SimHei)</w:t>
      </w:r>
      <w:r>
        <w:rPr>
          <w:rFonts w:ascii="Times New Roman" w:eastAsia="宋体"/>
          <w:sz w:val="24"/>
        </w:rPr>
        <w:t>：</w:t>
      </w:r>
      <w:bookmarkStart w:id="4" w:name="_Hlk194187348"/>
      <w:r>
        <w:rPr>
          <w:rFonts w:hint="eastAsia" w:ascii="宋体" w:hAnsi="宋体" w:eastAsia="宋体" w:cs="宋体"/>
          <w:sz w:val="18"/>
          <w:szCs w:val="18"/>
        </w:rPr>
        <w:t>透明土；</w:t>
      </w:r>
      <w:r>
        <w:rPr>
          <w:rFonts w:hint="eastAsia" w:ascii="宋体" w:hAnsi="宋体" w:eastAsia="宋体" w:cs="宋体"/>
          <w:iCs/>
          <w:sz w:val="18"/>
          <w:szCs w:val="18"/>
        </w:rPr>
        <w:t>隧道工程；物理模型</w:t>
      </w:r>
      <w:r>
        <w:rPr>
          <w:rFonts w:hint="eastAsia" w:ascii="宋体" w:hAnsi="宋体" w:eastAsia="宋体" w:cs="宋体"/>
          <w:sz w:val="18"/>
          <w:szCs w:val="18"/>
        </w:rPr>
        <w:t>试验；粒子图像测速</w:t>
      </w:r>
      <w:r>
        <w:rPr>
          <w:rFonts w:hint="eastAsia" w:ascii="宋体" w:hAnsi="宋体" w:eastAsia="宋体" w:cs="宋体"/>
          <w:sz w:val="18"/>
          <w:szCs w:val="18"/>
          <w:lang w:eastAsia="zh-CN"/>
        </w:rPr>
        <w:t>(</w:t>
      </w:r>
      <w:r>
        <w:rPr>
          <w:rFonts w:hint="eastAsia" w:ascii="宋体" w:hAnsi="宋体" w:eastAsia="宋体" w:cs="宋体"/>
          <w:sz w:val="18"/>
          <w:szCs w:val="18"/>
        </w:rPr>
        <w:t>PIV</w:t>
      </w:r>
      <w:r>
        <w:rPr>
          <w:rFonts w:hint="eastAsia" w:ascii="宋体" w:hAnsi="宋体" w:eastAsia="宋体" w:cs="宋体"/>
          <w:sz w:val="18"/>
          <w:szCs w:val="18"/>
          <w:lang w:eastAsia="zh-CN"/>
        </w:rPr>
        <w:t>)</w:t>
      </w:r>
      <w:r>
        <w:rPr>
          <w:rFonts w:hint="eastAsia" w:ascii="宋体" w:hAnsi="宋体" w:eastAsia="宋体" w:cs="宋体"/>
          <w:sz w:val="18"/>
          <w:szCs w:val="18"/>
        </w:rPr>
        <w:t>；数字图像相关</w:t>
      </w:r>
      <w:r>
        <w:rPr>
          <w:rFonts w:hint="eastAsia" w:ascii="宋体" w:hAnsi="宋体" w:eastAsia="宋体" w:cs="宋体"/>
          <w:sz w:val="18"/>
          <w:szCs w:val="18"/>
          <w:lang w:eastAsia="zh-CN"/>
        </w:rPr>
        <w:t>(</w:t>
      </w:r>
      <w:r>
        <w:rPr>
          <w:rFonts w:hint="eastAsia" w:ascii="宋体" w:hAnsi="宋体" w:eastAsia="宋体" w:cs="宋体"/>
          <w:sz w:val="18"/>
          <w:szCs w:val="18"/>
        </w:rPr>
        <w:t>DIC</w:t>
      </w:r>
      <w:r>
        <w:rPr>
          <w:rFonts w:hint="eastAsia" w:ascii="宋体" w:hAnsi="宋体" w:eastAsia="宋体" w:cs="宋体"/>
          <w:sz w:val="18"/>
          <w:szCs w:val="18"/>
          <w:lang w:eastAsia="zh-CN"/>
        </w:rPr>
        <w:t>)</w:t>
      </w:r>
      <w:r>
        <w:rPr>
          <w:rFonts w:hint="eastAsia" w:ascii="宋体" w:hAnsi="宋体" w:eastAsia="宋体" w:cs="宋体"/>
          <w:sz w:val="18"/>
          <w:szCs w:val="18"/>
        </w:rPr>
        <w:t>；制斑技术；地层位移场</w:t>
      </w:r>
      <w:bookmarkEnd w:id="4"/>
      <w:r>
        <w:rPr>
          <w:rFonts w:hint="eastAsia" w:ascii="宋体" w:hAnsi="宋体" w:eastAsia="宋体" w:cs="宋体"/>
          <w:iCs/>
          <w:color w:val="FF0000"/>
          <w:kern w:val="2"/>
          <w:sz w:val="18"/>
          <w:szCs w:val="18"/>
          <w:lang w:val="en-US" w:eastAsia="zh-CN" w:bidi="ar"/>
          <w14:ligatures w14:val="standardContextual"/>
        </w:rPr>
        <w:t>(9pt, FZShuSong-Z02S)</w:t>
      </w:r>
    </w:p>
    <w:p w14:paraId="0C95E7FA">
      <w:pPr>
        <w:keepLines w:val="0"/>
        <w:pageBreakBefore w:val="0"/>
        <w:kinsoku/>
        <w:wordWrap/>
        <w:overflowPunct/>
        <w:topLinePunct w:val="0"/>
        <w:autoSpaceDE/>
        <w:autoSpaceDN/>
        <w:bidi w:val="0"/>
        <w:adjustRightInd w:val="0"/>
        <w:snapToGrid w:val="0"/>
        <w:spacing w:line="240" w:lineRule="auto"/>
        <w:ind w:firstLine="0" w:firstLineChars="0"/>
        <w:textAlignment w:val="auto"/>
        <w:rPr>
          <w:rFonts w:ascii="Times New Roman"/>
          <w:sz w:val="24"/>
        </w:rPr>
      </w:pPr>
      <w:r>
        <w:rPr>
          <w:rFonts w:hint="eastAsia" w:ascii="MS Gothic" w:hAnsi="MS Gothic" w:eastAsia="MS Gothic" w:cs="MS Gothic"/>
          <w:sz w:val="24"/>
        </w:rPr>
        <w:t>　　　　　　　　</w:t>
      </w:r>
    </w:p>
    <w:p w14:paraId="4FBB46F9">
      <w:pPr>
        <w:keepLines w:val="0"/>
        <w:pageBreakBefore w:val="0"/>
        <w:kinsoku/>
        <w:wordWrap/>
        <w:overflowPunct/>
        <w:topLinePunct w:val="0"/>
        <w:autoSpaceDE/>
        <w:autoSpaceDN/>
        <w:bidi w:val="0"/>
        <w:adjustRightInd w:val="0"/>
        <w:snapToGrid w:val="0"/>
        <w:spacing w:line="240" w:lineRule="auto"/>
        <w:ind w:firstLine="0" w:firstLineChars="0"/>
        <w:textAlignment w:val="auto"/>
        <w:rPr>
          <w:rFonts w:ascii="Times New Roman"/>
          <w:sz w:val="24"/>
        </w:rPr>
        <w:sectPr>
          <w:headerReference r:id="rId7" w:type="first"/>
          <w:footerReference r:id="rId10" w:type="first"/>
          <w:headerReference r:id="rId5" w:type="default"/>
          <w:footerReference r:id="rId8" w:type="default"/>
          <w:headerReference r:id="rId6" w:type="even"/>
          <w:footerReference r:id="rId9" w:type="even"/>
          <w:pgSz w:w="11906" w:h="16838"/>
          <w:pgMar w:top="1247" w:right="1106" w:bottom="1247" w:left="1106" w:header="851" w:footer="1247" w:gutter="0"/>
          <w:cols w:space="425" w:num="1"/>
          <w:titlePg/>
          <w:docGrid w:type="linesAndChars" w:linePitch="312" w:charSpace="0"/>
        </w:sectPr>
      </w:pPr>
    </w:p>
    <w:p w14:paraId="7D78AA06">
      <w:pPr>
        <w:pStyle w:val="2"/>
        <w:keepNext/>
        <w:keepLines w:val="0"/>
        <w:pageBreakBefore w:val="0"/>
        <w:widowControl/>
        <w:kinsoku/>
        <w:wordWrap/>
        <w:overflowPunct/>
        <w:topLinePunct w:val="0"/>
        <w:autoSpaceDE/>
        <w:autoSpaceDN/>
        <w:bidi w:val="0"/>
        <w:adjustRightInd w:val="0"/>
        <w:snapToGrid w:val="0"/>
        <w:spacing w:after="157" w:afterLines="50" w:line="240" w:lineRule="auto"/>
        <w:textAlignment w:val="auto"/>
        <w:rPr>
          <w:b/>
          <w:bCs/>
          <w:szCs w:val="24"/>
        </w:rPr>
      </w:pPr>
      <w:r>
        <w:rPr>
          <w:b/>
          <w:bCs/>
          <w:szCs w:val="24"/>
        </w:rPr>
        <w:t>Introduction</w:t>
      </w:r>
    </w:p>
    <w:p w14:paraId="179B7F99">
      <w:pPr>
        <w:pStyle w:val="2"/>
        <w:keepLines w:val="0"/>
        <w:pageBreakBefore w:val="0"/>
        <w:numPr>
          <w:ilvl w:val="0"/>
          <w:numId w:val="0"/>
        </w:numPr>
        <w:kinsoku/>
        <w:wordWrap/>
        <w:overflowPunct/>
        <w:topLinePunct w:val="0"/>
        <w:autoSpaceDE/>
        <w:autoSpaceDN/>
        <w:bidi w:val="0"/>
        <w:snapToGrid w:val="0"/>
        <w:spacing w:line="240" w:lineRule="auto"/>
        <w:ind w:leftChars="0"/>
        <w:textAlignment w:val="auto"/>
        <w:rPr>
          <w:rFonts w:hint="default" w:ascii="Times New Roman" w:hAnsi="Times New Roman" w:cs="Times New Roman"/>
          <w:b/>
          <w:bCs/>
          <w:lang w:val="en-US" w:eastAsia="zh-CN"/>
        </w:rPr>
      </w:pPr>
      <w:r>
        <w:rPr>
          <w:rFonts w:hint="eastAsia" w:eastAsia="方正书宋简体" w:cs="Times New Roman"/>
          <w:b/>
          <w:bCs/>
          <w:iCs/>
          <w:color w:val="FF0000"/>
          <w:kern w:val="2"/>
          <w:sz w:val="24"/>
          <w:szCs w:val="24"/>
          <w:lang w:val="en-US" w:eastAsia="zh-CN" w:bidi="ar"/>
        </w:rPr>
        <w:t xml:space="preserve">(Heading 1, 12pt, </w:t>
      </w:r>
      <w:r>
        <w:rPr>
          <w:rFonts w:hint="default" w:ascii="Times New Roman" w:hAnsi="Times New Roman" w:eastAsia="宋体" w:cs="Times New Roman"/>
          <w:b/>
          <w:bCs/>
          <w:color w:val="FF0000"/>
          <w:kern w:val="2"/>
          <w:sz w:val="24"/>
          <w:szCs w:val="24"/>
          <w:lang w:val="en-US" w:eastAsia="zh-CN" w:bidi="ar"/>
        </w:rPr>
        <w:t>Times New Roman</w:t>
      </w:r>
      <w:r>
        <w:rPr>
          <w:rFonts w:hint="eastAsia" w:eastAsia="宋体" w:cs="Times New Roman"/>
          <w:b/>
          <w:bCs/>
          <w:color w:val="FF0000"/>
          <w:kern w:val="2"/>
          <w:sz w:val="24"/>
          <w:szCs w:val="24"/>
          <w:lang w:val="en-US" w:eastAsia="zh-CN" w:bidi="ar"/>
        </w:rPr>
        <w:t>, bold</w:t>
      </w:r>
      <w:r>
        <w:rPr>
          <w:rFonts w:hint="eastAsia" w:eastAsia="方正书宋简体" w:cs="Times New Roman"/>
          <w:b/>
          <w:bCs/>
          <w:iCs/>
          <w:color w:val="FF0000"/>
          <w:kern w:val="2"/>
          <w:sz w:val="24"/>
          <w:szCs w:val="24"/>
          <w:lang w:val="en-US" w:eastAsia="zh-CN" w:bidi="ar"/>
        </w:rPr>
        <w:t>)</w:t>
      </w:r>
    </w:p>
    <w:p w14:paraId="78001086">
      <w:pPr>
        <w:pStyle w:val="2"/>
        <w:keepLines w:val="0"/>
        <w:pageBreakBefore w:val="0"/>
        <w:numPr>
          <w:ilvl w:val="0"/>
          <w:numId w:val="0"/>
        </w:numPr>
        <w:kinsoku/>
        <w:wordWrap/>
        <w:overflowPunct/>
        <w:topLinePunct w:val="0"/>
        <w:autoSpaceDE/>
        <w:autoSpaceDN/>
        <w:bidi w:val="0"/>
        <w:snapToGrid w:val="0"/>
        <w:spacing w:line="240" w:lineRule="auto"/>
        <w:ind w:leftChars="0"/>
        <w:textAlignment w:val="auto"/>
        <w:rPr>
          <w:rFonts w:hint="default" w:ascii="Times New Roman" w:hAnsi="Times New Roman" w:eastAsia="方正书宋简体" w:cs="Times New Roman"/>
          <w:iCs/>
          <w:color w:val="FF0000"/>
          <w:kern w:val="2"/>
          <w:sz w:val="21"/>
          <w:szCs w:val="21"/>
          <w:lang w:val="en-US" w:eastAsia="zh-CN" w:bidi="ar"/>
        </w:rPr>
      </w:pPr>
      <w:r>
        <w:rPr>
          <w:rFonts w:hint="eastAsia" w:eastAsia="方正书宋简体" w:cs="Times New Roman"/>
          <w:iCs/>
          <w:color w:val="FF0000"/>
          <w:kern w:val="2"/>
          <w:sz w:val="21"/>
          <w:szCs w:val="21"/>
          <w:lang w:val="en-US" w:eastAsia="zh-CN" w:bidi="ar"/>
        </w:rPr>
        <w:t xml:space="preserve">(Text, 10.5 pt, </w:t>
      </w:r>
      <w:r>
        <w:rPr>
          <w:rFonts w:hint="default" w:ascii="Times New Roman" w:hAnsi="Times New Roman" w:eastAsia="宋体" w:cs="Times New Roman"/>
          <w:color w:val="FF0000"/>
          <w:kern w:val="2"/>
          <w:sz w:val="21"/>
          <w:szCs w:val="21"/>
          <w:lang w:val="en-US" w:eastAsia="zh-CN" w:bidi="ar"/>
        </w:rPr>
        <w:t>Times New Roman</w:t>
      </w:r>
      <w:r>
        <w:rPr>
          <w:rFonts w:hint="eastAsia" w:eastAsia="方正书宋简体" w:cs="Times New Roman"/>
          <w:iCs/>
          <w:color w:val="FF0000"/>
          <w:kern w:val="2"/>
          <w:sz w:val="21"/>
          <w:szCs w:val="21"/>
          <w:lang w:val="en-US" w:eastAsia="zh-CN" w:bidi="ar"/>
        </w:rPr>
        <w:t>)</w:t>
      </w:r>
    </w:p>
    <w:p w14:paraId="65014DF7">
      <w:pPr>
        <w:keepNext w:val="0"/>
        <w:keepLines w:val="0"/>
        <w:pageBreakBefore w:val="0"/>
        <w:widowControl w:val="0"/>
        <w:kinsoku/>
        <w:wordWrap/>
        <w:overflowPunct/>
        <w:topLinePunct w:val="0"/>
        <w:autoSpaceDE/>
        <w:autoSpaceDN/>
        <w:bidi w:val="0"/>
        <w:adjustRightInd w:val="0"/>
        <w:snapToGrid w:val="0"/>
        <w:spacing w:line="240" w:lineRule="auto"/>
        <w:ind w:firstLine="480"/>
        <w:textAlignment w:val="auto"/>
        <w:rPr>
          <w:rFonts w:ascii="Times New Roman"/>
          <w:sz w:val="21"/>
          <w:szCs w:val="21"/>
        </w:rPr>
      </w:pPr>
      <w:r>
        <w:rPr>
          <w:rFonts w:ascii="Times New Roman"/>
          <w:sz w:val="21"/>
          <w:szCs w:val="21"/>
        </w:rPr>
        <w:t>More than a decade ago, China had already become the country with the largest number of highway tunnels and fastest rate of tunnel development</w:t>
      </w:r>
      <w:r>
        <w:rPr>
          <w:rFonts w:ascii="Times New Roman"/>
          <w:sz w:val="21"/>
          <w:szCs w:val="21"/>
          <w:vertAlign w:val="superscript"/>
        </w:rPr>
        <w:t>[1]</w:t>
      </w:r>
      <w:r>
        <w:rPr>
          <w:rFonts w:ascii="Times New Roman"/>
          <w:sz w:val="21"/>
          <w:szCs w:val="21"/>
        </w:rPr>
        <w:t>. This rapid expansion has been accompanied by the completion of technically demanding projects marking important milestones in tunnel engineering practice</w:t>
      </w:r>
      <w:r>
        <w:rPr>
          <w:rFonts w:ascii="Times New Roman"/>
          <w:sz w:val="21"/>
          <w:szCs w:val="21"/>
          <w:vertAlign w:val="superscript"/>
        </w:rPr>
        <w:t>[2]</w:t>
      </w:r>
      <w:r>
        <w:rPr>
          <w:rFonts w:ascii="Times New Roman"/>
          <w:sz w:val="21"/>
          <w:szCs w:val="21"/>
        </w:rPr>
        <w:t>, as exemplified by the completion of the immersed tunnel of the Hong Kong–Zhuhai–Macao Bridge in 2017, world’s first extra-long twin-tube spiral tunnel (the Hankou Tunnel) in 2022, and Xiagongla Mountain Tunnel in October 2024. With a design elevation approaching 5000 m along its full length, the Xiagongla Tunnel has permanently eliminated seasonal traffic interruption caused by snow cover at what was once known as the most hazardous gateway to Tibet</w:t>
      </w:r>
      <w:r>
        <w:rPr>
          <w:rFonts w:ascii="Times New Roman"/>
          <w:sz w:val="21"/>
          <w:szCs w:val="21"/>
          <w:vertAlign w:val="superscript"/>
        </w:rPr>
        <w:t>[3]</w:t>
      </w:r>
      <w:r>
        <w:rPr>
          <w:rFonts w:ascii="Times New Roman"/>
          <w:sz w:val="21"/>
          <w:szCs w:val="21"/>
        </w:rPr>
        <w:t>.</w:t>
      </w:r>
    </w:p>
    <w:p w14:paraId="28866AC0">
      <w:pPr>
        <w:keepLines w:val="0"/>
        <w:pageBreakBefore w:val="0"/>
        <w:kinsoku/>
        <w:wordWrap/>
        <w:overflowPunct/>
        <w:topLinePunct w:val="0"/>
        <w:autoSpaceDE/>
        <w:autoSpaceDN/>
        <w:bidi w:val="0"/>
        <w:adjustRightInd w:val="0"/>
        <w:snapToGrid w:val="0"/>
        <w:spacing w:line="240" w:lineRule="auto"/>
        <w:ind w:firstLine="480"/>
        <w:textAlignment w:val="auto"/>
        <w:rPr>
          <w:rFonts w:ascii="Times New Roman"/>
          <w:sz w:val="21"/>
          <w:szCs w:val="21"/>
        </w:rPr>
      </w:pPr>
      <w:r>
        <w:rPr>
          <w:rFonts w:ascii="Times New Roman"/>
          <w:sz w:val="21"/>
          <w:szCs w:val="21"/>
        </w:rPr>
        <w:t>These projects not only demonstrate China’s growing technical capability in tunnel construction but also reflect a broader transition from large-scale construction to increasingly complex and condition-sensitive engineering practice.</w:t>
      </w:r>
    </w:p>
    <w:p w14:paraId="7248CFCA">
      <w:pPr>
        <w:keepLines w:val="0"/>
        <w:pageBreakBefore w:val="0"/>
        <w:kinsoku/>
        <w:wordWrap/>
        <w:overflowPunct/>
        <w:topLinePunct w:val="0"/>
        <w:autoSpaceDE/>
        <w:autoSpaceDN/>
        <w:bidi w:val="0"/>
        <w:adjustRightInd w:val="0"/>
        <w:snapToGrid w:val="0"/>
        <w:spacing w:line="240" w:lineRule="auto"/>
        <w:ind w:firstLine="480"/>
        <w:textAlignment w:val="auto"/>
        <w:rPr>
          <w:rFonts w:ascii="Times New Roman"/>
          <w:sz w:val="21"/>
          <w:szCs w:val="21"/>
        </w:rPr>
      </w:pPr>
      <w:r>
        <w:rPr>
          <w:rFonts w:ascii="Times New Roman"/>
          <w:sz w:val="21"/>
          <w:szCs w:val="21"/>
        </w:rPr>
        <w:t>The increasing scale and technical sophistication of tunnel projects have exposed challenges that cannot be resolved through experience-based design alone</w:t>
      </w:r>
      <w:r>
        <w:rPr>
          <w:rFonts w:ascii="Times New Roman"/>
          <w:sz w:val="21"/>
          <w:szCs w:val="21"/>
          <w:vertAlign w:val="superscript"/>
        </w:rPr>
        <w:t>[4]</w:t>
      </w:r>
      <w:r>
        <w:rPr>
          <w:rFonts w:ascii="Times New Roman"/>
          <w:sz w:val="21"/>
          <w:szCs w:val="21"/>
        </w:rPr>
        <w:t>. In practice, tunnel construction is strongly influenced by geological complexity and regional variability, which result in pronounced differences in deformation mechanisms, failure modes, and construction performance across projects. Although landmark works such as the immersed tunnel of the Hong Kong–Zhuhai–Macao Bridge demonstrate the feasibility of overcoming extreme engineering constraints, the direct replication of such construction strategies is rarely realistic under different geological and hydrological conditions.</w:t>
      </w:r>
    </w:p>
    <w:p w14:paraId="7059298F">
      <w:pPr>
        <w:pStyle w:val="2"/>
        <w:keepNext/>
        <w:keepLines w:val="0"/>
        <w:pageBreakBefore w:val="0"/>
        <w:widowControl/>
        <w:kinsoku/>
        <w:wordWrap/>
        <w:overflowPunct/>
        <w:topLinePunct w:val="0"/>
        <w:autoSpaceDE/>
        <w:autoSpaceDN/>
        <w:bidi w:val="0"/>
        <w:adjustRightInd w:val="0"/>
        <w:snapToGrid w:val="0"/>
        <w:spacing w:after="157" w:afterLines="50" w:line="240" w:lineRule="auto"/>
        <w:textAlignment w:val="auto"/>
        <w:rPr>
          <w:szCs w:val="24"/>
        </w:rPr>
      </w:pPr>
      <w:r>
        <w:rPr>
          <w:b/>
          <w:bCs/>
          <w:szCs w:val="24"/>
        </w:rPr>
        <w:t>Transparent soil material systems and development status</w:t>
      </w:r>
    </w:p>
    <w:p w14:paraId="09298715">
      <w:pPr>
        <w:pStyle w:val="3"/>
        <w:keepNext w:val="0"/>
        <w:keepLines w:val="0"/>
        <w:pageBreakBefore w:val="0"/>
        <w:widowControl w:val="0"/>
        <w:kinsoku/>
        <w:wordWrap/>
        <w:overflowPunct/>
        <w:topLinePunct w:val="0"/>
        <w:autoSpaceDE/>
        <w:autoSpaceDN/>
        <w:bidi w:val="0"/>
        <w:adjustRightInd w:val="0"/>
        <w:snapToGrid w:val="0"/>
        <w:spacing w:line="240" w:lineRule="auto"/>
        <w:textAlignment w:val="auto"/>
        <w:rPr>
          <w:sz w:val="21"/>
          <w:szCs w:val="21"/>
        </w:rPr>
      </w:pPr>
      <w:r>
        <w:rPr>
          <w:b/>
          <w:bCs/>
          <w:sz w:val="21"/>
          <w:szCs w:val="21"/>
        </w:rPr>
        <w:t>Overview of transparent soil materials</w:t>
      </w:r>
    </w:p>
    <w:p w14:paraId="59A3957C">
      <w:pPr>
        <w:pStyle w:val="2"/>
        <w:keepLines w:val="0"/>
        <w:pageBreakBefore w:val="0"/>
        <w:numPr>
          <w:ilvl w:val="0"/>
          <w:numId w:val="0"/>
        </w:numPr>
        <w:kinsoku/>
        <w:wordWrap/>
        <w:overflowPunct/>
        <w:topLinePunct w:val="0"/>
        <w:autoSpaceDE/>
        <w:autoSpaceDN/>
        <w:bidi w:val="0"/>
        <w:snapToGrid w:val="0"/>
        <w:spacing w:line="240" w:lineRule="auto"/>
        <w:ind w:leftChars="0"/>
        <w:textAlignment w:val="auto"/>
        <w:rPr>
          <w:rFonts w:hint="eastAsia"/>
          <w:b/>
          <w:bCs/>
          <w:sz w:val="21"/>
          <w:szCs w:val="21"/>
          <w:lang w:val="en-US" w:eastAsia="zh-CN"/>
        </w:rPr>
      </w:pPr>
      <w:r>
        <w:rPr>
          <w:rFonts w:hint="eastAsia" w:eastAsia="方正书宋简体" w:cs="Times New Roman"/>
          <w:b/>
          <w:bCs/>
          <w:iCs/>
          <w:color w:val="FF0000"/>
          <w:kern w:val="2"/>
          <w:sz w:val="21"/>
          <w:szCs w:val="21"/>
          <w:lang w:val="en-US" w:eastAsia="zh-CN" w:bidi="ar"/>
        </w:rPr>
        <w:t xml:space="preserve">(Heading 2, 10.5pt, </w:t>
      </w:r>
      <w:r>
        <w:rPr>
          <w:rFonts w:hint="default" w:ascii="Times New Roman" w:hAnsi="Times New Roman" w:eastAsia="宋体" w:cs="Times New Roman"/>
          <w:b/>
          <w:bCs/>
          <w:color w:val="FF0000"/>
          <w:kern w:val="2"/>
          <w:sz w:val="21"/>
          <w:szCs w:val="21"/>
          <w:lang w:val="en-US" w:eastAsia="zh-CN" w:bidi="ar"/>
        </w:rPr>
        <w:t>Times New Roman</w:t>
      </w:r>
      <w:r>
        <w:rPr>
          <w:rFonts w:hint="eastAsia" w:eastAsia="宋体" w:cs="Times New Roman"/>
          <w:b/>
          <w:bCs/>
          <w:color w:val="FF0000"/>
          <w:kern w:val="2"/>
          <w:sz w:val="21"/>
          <w:szCs w:val="21"/>
          <w:lang w:val="en-US" w:eastAsia="zh-CN" w:bidi="ar"/>
        </w:rPr>
        <w:t>, bold</w:t>
      </w:r>
      <w:r>
        <w:rPr>
          <w:rFonts w:hint="eastAsia" w:eastAsia="方正书宋简体" w:cs="Times New Roman"/>
          <w:b/>
          <w:bCs/>
          <w:iCs/>
          <w:color w:val="FF0000"/>
          <w:kern w:val="2"/>
          <w:sz w:val="21"/>
          <w:szCs w:val="21"/>
          <w:lang w:val="en-US" w:eastAsia="zh-CN" w:bidi="ar"/>
        </w:rPr>
        <w:t>)</w:t>
      </w:r>
    </w:p>
    <w:p w14:paraId="0FFCA453">
      <w:pPr>
        <w:pStyle w:val="4"/>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sz w:val="21"/>
          <w:szCs w:val="21"/>
        </w:rPr>
      </w:pPr>
      <w:r>
        <w:rPr>
          <w:rFonts w:hint="default" w:ascii="Times New Roman" w:hAnsi="Times New Roman" w:cs="Times New Roman"/>
          <w:sz w:val="21"/>
          <w:szCs w:val="21"/>
        </w:rPr>
        <w:t>Research and development progress</w:t>
      </w:r>
    </w:p>
    <w:p w14:paraId="1898DE2F">
      <w:pPr>
        <w:pStyle w:val="4"/>
        <w:keepLines w:val="0"/>
        <w:pageBreakBefore w:val="0"/>
        <w:numPr>
          <w:ilvl w:val="2"/>
          <w:numId w:val="0"/>
        </w:numPr>
        <w:kinsoku/>
        <w:wordWrap/>
        <w:overflowPunct/>
        <w:topLinePunct w:val="0"/>
        <w:autoSpaceDE/>
        <w:autoSpaceDN/>
        <w:bidi w:val="0"/>
        <w:adjustRightInd w:val="0"/>
        <w:snapToGrid w:val="0"/>
        <w:spacing w:line="240" w:lineRule="auto"/>
        <w:ind w:leftChars="0"/>
        <w:textAlignment w:val="auto"/>
        <w:rPr>
          <w:rFonts w:hint="default" w:ascii="Times New Roman" w:hAnsi="Times New Roman" w:cs="Times New Roman"/>
          <w:sz w:val="21"/>
          <w:szCs w:val="21"/>
        </w:rPr>
      </w:pPr>
      <w:r>
        <w:rPr>
          <w:rFonts w:hint="eastAsia" w:ascii="Times New Roman" w:cs="Times New Roman"/>
          <w:iCs/>
          <w:color w:val="FF0000"/>
          <w:kern w:val="2"/>
          <w:sz w:val="21"/>
          <w:szCs w:val="21"/>
          <w:lang w:val="en-US" w:eastAsia="zh-CN" w:bidi="ar"/>
        </w:rPr>
        <w:t xml:space="preserve">(Heading 3, 10.5pt, </w:t>
      </w:r>
      <w:r>
        <w:rPr>
          <w:rFonts w:hint="default" w:ascii="Times New Roman" w:hAnsi="Times New Roman" w:eastAsia="宋体" w:cs="Times New Roman"/>
          <w:color w:val="FF0000"/>
          <w:kern w:val="2"/>
          <w:sz w:val="21"/>
          <w:szCs w:val="21"/>
          <w:lang w:val="en-US" w:eastAsia="zh-CN" w:bidi="ar"/>
        </w:rPr>
        <w:t>Times New Roman</w:t>
      </w:r>
      <w:r>
        <w:rPr>
          <w:rFonts w:hint="eastAsia" w:ascii="Times New Roman" w:cs="Times New Roman"/>
          <w:color w:val="FF0000"/>
          <w:sz w:val="21"/>
          <w:szCs w:val="21"/>
          <w:lang w:eastAsia="zh-CN"/>
        </w:rPr>
        <w:t>)</w:t>
      </w:r>
    </w:p>
    <w:p w14:paraId="789F6637">
      <w:pPr>
        <w:keepLines w:val="0"/>
        <w:pageBreakBefore w:val="0"/>
        <w:kinsoku/>
        <w:wordWrap/>
        <w:overflowPunct/>
        <w:topLinePunct w:val="0"/>
        <w:autoSpaceDE/>
        <w:autoSpaceDN/>
        <w:bidi w:val="0"/>
        <w:adjustRightInd w:val="0"/>
        <w:snapToGrid w:val="0"/>
        <w:spacing w:line="240" w:lineRule="auto"/>
        <w:ind w:firstLine="480"/>
        <w:textAlignment w:val="auto"/>
        <w:rPr>
          <w:rFonts w:ascii="Times New Roman"/>
          <w:sz w:val="21"/>
          <w:szCs w:val="21"/>
        </w:rPr>
      </w:pPr>
      <w:r>
        <w:rPr>
          <w:rFonts w:ascii="Times New Roman"/>
          <w:sz w:val="21"/>
          <w:szCs w:val="21"/>
        </w:rPr>
        <w:t>Before the development of transparent soil testing materials, most experimental studies relied on embedded strain gauges and other sensor-based techniques, X-ray scanning, or marker tracing methods. These intrusive three-dimensional (3D) techniques generally exhibited limited spatial resolution and accuracy, particularly when applied to complex deformation processes within geomaterials</w:t>
      </w:r>
      <w:r>
        <w:rPr>
          <w:rFonts w:ascii="Times New Roman"/>
          <w:sz w:val="21"/>
          <w:szCs w:val="21"/>
          <w:vertAlign w:val="superscript"/>
        </w:rPr>
        <w:t>[5]</w:t>
      </w:r>
      <w:r>
        <w:rPr>
          <w:rFonts w:ascii="Times New Roman"/>
          <w:sz w:val="21"/>
          <w:szCs w:val="21"/>
        </w:rPr>
        <w:t>. As a result, the internal response of the soil mass could only be inferred indirectly.</w:t>
      </w:r>
    </w:p>
    <w:p w14:paraId="2EF58C60">
      <w:pPr>
        <w:pStyle w:val="4"/>
        <w:keepLines w:val="0"/>
        <w:pageBreakBefore w:val="0"/>
        <w:kinsoku/>
        <w:wordWrap/>
        <w:overflowPunct/>
        <w:topLinePunct w:val="0"/>
        <w:autoSpaceDE/>
        <w:autoSpaceDN/>
        <w:bidi w:val="0"/>
        <w:adjustRightInd w:val="0"/>
        <w:snapToGrid w:val="0"/>
        <w:spacing w:line="240" w:lineRule="auto"/>
        <w:textAlignment w:val="auto"/>
        <w:rPr>
          <w:rFonts w:ascii="Times New Roman"/>
          <w:sz w:val="21"/>
          <w:szCs w:val="21"/>
        </w:rPr>
      </w:pPr>
      <w:r>
        <w:rPr>
          <w:rFonts w:ascii="Times New Roman"/>
          <w:sz w:val="21"/>
          <w:szCs w:val="21"/>
        </w:rPr>
        <w:t>Applications of transparent soil techniques</w:t>
      </w:r>
    </w:p>
    <w:p w14:paraId="5D328E65">
      <w:pPr>
        <w:keepLines w:val="0"/>
        <w:pageBreakBefore w:val="0"/>
        <w:kinsoku/>
        <w:wordWrap/>
        <w:overflowPunct/>
        <w:topLinePunct w:val="0"/>
        <w:autoSpaceDE/>
        <w:autoSpaceDN/>
        <w:bidi w:val="0"/>
        <w:adjustRightInd w:val="0"/>
        <w:snapToGrid w:val="0"/>
        <w:spacing w:line="240" w:lineRule="auto"/>
        <w:ind w:firstLine="480"/>
        <w:textAlignment w:val="auto"/>
        <w:rPr>
          <w:rFonts w:ascii="Times New Roman"/>
          <w:sz w:val="21"/>
          <w:szCs w:val="21"/>
        </w:rPr>
      </w:pPr>
      <w:r>
        <w:rPr>
          <w:rFonts w:ascii="Times New Roman"/>
          <w:sz w:val="21"/>
          <w:szCs w:val="21"/>
        </w:rPr>
        <w:t>The development of transparent soil materials has been accompanied by that of experimental equipment and optical systems for transparent soil testing. He et al.</w:t>
      </w:r>
      <w:r>
        <w:rPr>
          <w:rFonts w:ascii="Times New Roman"/>
          <w:sz w:val="21"/>
          <w:szCs w:val="21"/>
          <w:vertAlign w:val="superscript"/>
        </w:rPr>
        <w:t>[14]</w:t>
      </w:r>
      <w:r>
        <w:rPr>
          <w:rFonts w:ascii="Times New Roman"/>
          <w:sz w:val="21"/>
          <w:szCs w:val="21"/>
        </w:rPr>
        <w:t xml:space="preserve"> reviewed the evolution of transparent soil testing techniques and material configurations and explained the working principles of experimental apparatus for transparent geotechnical testing. Liu et al.</w:t>
      </w:r>
      <w:r>
        <w:rPr>
          <w:rFonts w:ascii="Times New Roman"/>
          <w:sz w:val="21"/>
          <w:szCs w:val="21"/>
          <w:vertAlign w:val="superscript"/>
        </w:rPr>
        <w:t>[15]</w:t>
      </w:r>
      <w:r>
        <w:rPr>
          <w:rFonts w:ascii="Times New Roman"/>
          <w:sz w:val="21"/>
          <w:szCs w:val="21"/>
        </w:rPr>
        <w:t xml:space="preserve"> developed an optical slicing system for transparent soil model tests consisting of a laser light source, camera, frame grabber, and computer. Displacement fields were obtained using DIC to generate a commonly adopted optical configuration for transparent soil experiments.</w:t>
      </w:r>
    </w:p>
    <w:p w14:paraId="2BD43067">
      <w:pPr>
        <w:keepLines w:val="0"/>
        <w:pageBreakBefore w:val="0"/>
        <w:kinsoku/>
        <w:wordWrap/>
        <w:overflowPunct/>
        <w:topLinePunct w:val="0"/>
        <w:autoSpaceDE/>
        <w:autoSpaceDN/>
        <w:bidi w:val="0"/>
        <w:adjustRightInd w:val="0"/>
        <w:snapToGrid w:val="0"/>
        <w:spacing w:line="240" w:lineRule="auto"/>
        <w:ind w:firstLine="480"/>
        <w:textAlignment w:val="auto"/>
        <w:rPr>
          <w:rFonts w:ascii="Times New Roman"/>
          <w:sz w:val="24"/>
        </w:rPr>
      </w:pPr>
      <w:r>
        <w:rPr>
          <w:rFonts w:ascii="Times New Roman"/>
          <w:sz w:val="21"/>
          <w:szCs w:val="21"/>
        </w:rPr>
        <w:fldChar w:fldCharType="begin"/>
      </w:r>
      <w:r>
        <w:rPr>
          <w:rFonts w:ascii="Times New Roman"/>
          <w:sz w:val="21"/>
          <w:szCs w:val="21"/>
        </w:rPr>
        <w:instrText xml:space="preserve"> REF _Ref218101150 \h  \* MERGEFORMAT </w:instrText>
      </w:r>
      <w:r>
        <w:rPr>
          <w:rFonts w:ascii="Times New Roman"/>
          <w:sz w:val="21"/>
          <w:szCs w:val="21"/>
        </w:rPr>
        <w:fldChar w:fldCharType="separate"/>
      </w:r>
      <w:r>
        <w:rPr>
          <w:rFonts w:ascii="Times New Roman"/>
          <w:kern w:val="0"/>
          <w:sz w:val="21"/>
          <w:szCs w:val="21"/>
          <w14:ligatures w14:val="none"/>
        </w:rPr>
        <w:t>Table 1</w:t>
      </w:r>
      <w:r>
        <w:rPr>
          <w:rFonts w:ascii="Times New Roman"/>
          <w:sz w:val="21"/>
          <w:szCs w:val="21"/>
        </w:rPr>
        <w:fldChar w:fldCharType="end"/>
      </w:r>
      <w:r>
        <w:rPr>
          <w:rFonts w:ascii="Times New Roman"/>
          <w:sz w:val="21"/>
          <w:szCs w:val="21"/>
        </w:rPr>
        <w:t xml:space="preserve"> summarizes the transparent soil materials adopted in different physical model tests. Given that this comparison focuses on material selection and differences, the listed cases do not necessarily correspond to the first application of each material.</w:t>
      </w:r>
    </w:p>
    <w:p w14:paraId="779C2E2E">
      <w:pPr>
        <w:keepLines w:val="0"/>
        <w:pageBreakBefore w:val="0"/>
        <w:kinsoku/>
        <w:wordWrap/>
        <w:overflowPunct/>
        <w:topLinePunct w:val="0"/>
        <w:autoSpaceDE/>
        <w:autoSpaceDN/>
        <w:bidi w:val="0"/>
        <w:adjustRightInd w:val="0"/>
        <w:snapToGrid w:val="0"/>
        <w:spacing w:line="240" w:lineRule="auto"/>
        <w:ind w:firstLine="480"/>
        <w:textAlignment w:val="auto"/>
        <w:rPr>
          <w:rFonts w:ascii="Times New Roman"/>
          <w:sz w:val="24"/>
        </w:rPr>
        <w:sectPr>
          <w:type w:val="continuous"/>
          <w:pgSz w:w="11906" w:h="16838"/>
          <w:pgMar w:top="1247" w:right="1106" w:bottom="1247" w:left="1106" w:header="851" w:footer="1247" w:gutter="0"/>
          <w:cols w:space="425" w:num="2"/>
          <w:titlePg/>
          <w:docGrid w:type="linesAndChars" w:linePitch="312" w:charSpace="0"/>
        </w:sectPr>
      </w:pPr>
    </w:p>
    <w:p w14:paraId="59155C2A">
      <w:pPr>
        <w:pStyle w:val="5"/>
        <w:keepNext w:val="0"/>
        <w:keepLines w:val="0"/>
        <w:pageBreakBefore w:val="0"/>
        <w:widowControl w:val="0"/>
        <w:kinsoku/>
        <w:wordWrap/>
        <w:overflowPunct/>
        <w:topLinePunct w:val="0"/>
        <w:autoSpaceDE/>
        <w:autoSpaceDN/>
        <w:bidi w:val="0"/>
        <w:adjustRightInd w:val="0"/>
        <w:snapToGrid w:val="0"/>
        <w:spacing w:before="157" w:beforeLines="50" w:line="240" w:lineRule="auto"/>
        <w:ind w:firstLine="0" w:firstLineChars="0"/>
        <w:jc w:val="center"/>
        <w:textAlignment w:val="auto"/>
        <w:rPr>
          <w:rFonts w:hint="eastAsia" w:ascii="Times New Roman" w:hAnsi="Times New Roman" w:eastAsia="宋体" w:cs="Times New Roman"/>
          <w:color w:val="FF0000"/>
          <w:kern w:val="2"/>
          <w:sz w:val="18"/>
          <w:szCs w:val="18"/>
          <w:lang w:val="en-US" w:eastAsia="zh-CN" w:bidi="ar"/>
        </w:rPr>
      </w:pPr>
      <w:bookmarkStart w:id="5" w:name="_Ref218101150"/>
      <w:r>
        <w:rPr>
          <w:rFonts w:ascii="Times New Roman" w:hAnsi="Times New Roman" w:cs="Times New Roman"/>
          <w:b/>
          <w:bCs/>
          <w:kern w:val="0"/>
          <w:sz w:val="18"/>
          <w:szCs w:val="18"/>
          <w14:ligatures w14:val="none"/>
        </w:rPr>
        <w:t xml:space="preserve">Table </w:t>
      </w:r>
      <w:r>
        <w:rPr>
          <w:rFonts w:ascii="Times New Roman" w:hAnsi="Times New Roman" w:cs="Times New Roman"/>
          <w:b/>
          <w:bCs/>
          <w:kern w:val="0"/>
          <w:sz w:val="18"/>
          <w:szCs w:val="18"/>
          <w14:ligatures w14:val="none"/>
        </w:rPr>
        <w:fldChar w:fldCharType="begin"/>
      </w:r>
      <w:r>
        <w:rPr>
          <w:rFonts w:ascii="Times New Roman" w:hAnsi="Times New Roman" w:cs="Times New Roman"/>
          <w:b/>
          <w:bCs/>
          <w:kern w:val="0"/>
          <w:sz w:val="18"/>
          <w:szCs w:val="18"/>
          <w14:ligatures w14:val="none"/>
        </w:rPr>
        <w:instrText xml:space="preserve"> SEQ Table \* ARABIC </w:instrText>
      </w:r>
      <w:r>
        <w:rPr>
          <w:rFonts w:ascii="Times New Roman" w:hAnsi="Times New Roman" w:cs="Times New Roman"/>
          <w:b/>
          <w:bCs/>
          <w:kern w:val="0"/>
          <w:sz w:val="18"/>
          <w:szCs w:val="18"/>
          <w14:ligatures w14:val="none"/>
        </w:rPr>
        <w:fldChar w:fldCharType="separate"/>
      </w:r>
      <w:r>
        <w:rPr>
          <w:rFonts w:ascii="Times New Roman" w:hAnsi="Times New Roman" w:cs="Times New Roman"/>
          <w:b/>
          <w:bCs/>
          <w:kern w:val="0"/>
          <w:sz w:val="18"/>
          <w:szCs w:val="18"/>
          <w14:ligatures w14:val="none"/>
        </w:rPr>
        <w:t>1</w:t>
      </w:r>
      <w:r>
        <w:rPr>
          <w:rFonts w:ascii="Times New Roman" w:hAnsi="Times New Roman" w:cs="Times New Roman"/>
          <w:b/>
          <w:bCs/>
          <w:kern w:val="0"/>
          <w:sz w:val="18"/>
          <w:szCs w:val="18"/>
          <w14:ligatures w14:val="none"/>
        </w:rPr>
        <w:fldChar w:fldCharType="end"/>
      </w:r>
      <w:bookmarkEnd w:id="5"/>
      <w:r>
        <w:rPr>
          <w:rFonts w:hint="eastAsia" w:ascii="Times New Roman" w:hAnsi="Times New Roman" w:cs="Times New Roman"/>
          <w:b/>
          <w:bCs/>
          <w:color w:val="FF0000"/>
          <w:kern w:val="0"/>
          <w:sz w:val="18"/>
          <w:szCs w:val="18"/>
          <w:lang w:eastAsia="zh-CN"/>
          <w14:ligatures w14:val="none"/>
        </w:rPr>
        <w:t>(</w:t>
      </w:r>
      <w:r>
        <w:rPr>
          <w:rFonts w:hint="eastAsia" w:ascii="Times New Roman" w:hAnsi="Times New Roman" w:cs="Times New Roman"/>
          <w:b/>
          <w:bCs/>
          <w:color w:val="FF0000"/>
          <w:kern w:val="0"/>
          <w:sz w:val="18"/>
          <w:szCs w:val="18"/>
          <w:lang w:val="en-US" w:eastAsia="zh-CN"/>
          <w14:ligatures w14:val="none"/>
        </w:rPr>
        <w:t xml:space="preserve">9pt, </w:t>
      </w:r>
      <w:r>
        <w:rPr>
          <w:rFonts w:hint="default" w:ascii="Times New Roman" w:hAnsi="Times New Roman" w:eastAsia="宋体" w:cs="Times New Roman"/>
          <w:b/>
          <w:bCs/>
          <w:color w:val="FF0000"/>
          <w:kern w:val="2"/>
          <w:sz w:val="18"/>
          <w:szCs w:val="18"/>
          <w:lang w:val="en-US" w:eastAsia="zh-CN" w:bidi="ar"/>
        </w:rPr>
        <w:t>Times New Roman</w:t>
      </w:r>
      <w:r>
        <w:rPr>
          <w:rFonts w:hint="eastAsia" w:ascii="Times New Roman" w:hAnsi="Times New Roman" w:eastAsia="宋体" w:cs="Times New Roman"/>
          <w:b/>
          <w:bCs/>
          <w:color w:val="FF0000"/>
          <w:kern w:val="2"/>
          <w:sz w:val="18"/>
          <w:szCs w:val="18"/>
          <w:lang w:val="en-US" w:eastAsia="zh-CN" w:bidi="ar"/>
        </w:rPr>
        <w:t>, bold)</w:t>
      </w:r>
      <w:r>
        <w:rPr>
          <w:rFonts w:ascii="Times New Roman" w:hAnsi="Times New Roman" w:cs="Times New Roman"/>
          <w:kern w:val="0"/>
          <w:sz w:val="18"/>
          <w:szCs w:val="18"/>
          <w14:ligatures w14:val="none"/>
        </w:rPr>
        <w:t>　Materials used in transparent soil model tests</w:t>
      </w:r>
      <w:r>
        <w:rPr>
          <w:rFonts w:hint="eastAsia" w:ascii="Times New Roman" w:hAnsi="Times New Roman" w:cs="Times New Roman"/>
          <w:color w:val="FF0000"/>
          <w:kern w:val="0"/>
          <w:sz w:val="18"/>
          <w:szCs w:val="18"/>
          <w:lang w:eastAsia="zh-CN"/>
          <w14:ligatures w14:val="none"/>
        </w:rPr>
        <w:t>(</w:t>
      </w:r>
      <w:r>
        <w:rPr>
          <w:rFonts w:hint="eastAsia" w:ascii="Times New Roman" w:hAnsi="Times New Roman" w:cs="Times New Roman"/>
          <w:color w:val="FF0000"/>
          <w:kern w:val="0"/>
          <w:sz w:val="18"/>
          <w:szCs w:val="18"/>
          <w:lang w:val="en-US" w:eastAsia="zh-CN"/>
          <w14:ligatures w14:val="none"/>
        </w:rPr>
        <w:t xml:space="preserve">9pt, </w:t>
      </w:r>
      <w:r>
        <w:rPr>
          <w:rFonts w:hint="default" w:ascii="Times New Roman" w:hAnsi="Times New Roman" w:eastAsia="宋体" w:cs="Times New Roman"/>
          <w:color w:val="FF0000"/>
          <w:kern w:val="2"/>
          <w:sz w:val="18"/>
          <w:szCs w:val="18"/>
          <w:lang w:val="en-US" w:eastAsia="zh-CN" w:bidi="ar"/>
        </w:rPr>
        <w:t>Times New Roman</w:t>
      </w:r>
      <w:r>
        <w:rPr>
          <w:rFonts w:hint="eastAsia" w:ascii="Times New Roman" w:hAnsi="Times New Roman" w:eastAsia="宋体" w:cs="Times New Roman"/>
          <w:color w:val="FF0000"/>
          <w:kern w:val="2"/>
          <w:sz w:val="18"/>
          <w:szCs w:val="18"/>
          <w:lang w:val="en-US" w:eastAsia="zh-CN" w:bidi="ar"/>
        </w:rPr>
        <w:t>)</w:t>
      </w:r>
    </w:p>
    <w:p w14:paraId="0D683B92">
      <w:pPr>
        <w:pStyle w:val="5"/>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z w:val="15"/>
          <w:szCs w:val="15"/>
        </w:rPr>
      </w:pPr>
      <w:r>
        <w:rPr>
          <w:rFonts w:hint="eastAsia" w:ascii="Times New Roman" w:hAnsi="Times New Roman" w:cs="Times New Roman"/>
          <w:color w:val="FF0000"/>
          <w:kern w:val="0"/>
          <w:sz w:val="15"/>
          <w:szCs w:val="15"/>
          <w:lang w:eastAsia="zh-CN"/>
          <w14:ligatures w14:val="none"/>
        </w:rPr>
        <w:t>(</w:t>
      </w:r>
      <w:r>
        <w:rPr>
          <w:rFonts w:hint="eastAsia" w:ascii="Times New Roman" w:hAnsi="Times New Roman" w:cs="Times New Roman"/>
          <w:color w:val="FF0000"/>
          <w:kern w:val="0"/>
          <w:sz w:val="15"/>
          <w:szCs w:val="15"/>
          <w:lang w:val="en-US" w:eastAsia="zh-CN"/>
          <w14:ligatures w14:val="none"/>
        </w:rPr>
        <w:t xml:space="preserve">Text in the table, 7.5pt, </w:t>
      </w:r>
      <w:r>
        <w:rPr>
          <w:rFonts w:hint="default" w:ascii="Times New Roman" w:hAnsi="Times New Roman" w:eastAsia="宋体" w:cs="Times New Roman"/>
          <w:color w:val="FF0000"/>
          <w:kern w:val="2"/>
          <w:sz w:val="15"/>
          <w:szCs w:val="15"/>
          <w:lang w:val="en-US" w:eastAsia="zh-CN" w:bidi="ar"/>
        </w:rPr>
        <w:t>Times New Roman</w:t>
      </w:r>
      <w:r>
        <w:rPr>
          <w:rFonts w:hint="eastAsia" w:ascii="Times New Roman" w:hAnsi="Times New Roman" w:eastAsia="宋体" w:cs="Times New Roman"/>
          <w:color w:val="FF0000"/>
          <w:kern w:val="2"/>
          <w:sz w:val="15"/>
          <w:szCs w:val="15"/>
          <w:lang w:val="en-US" w:eastAsia="zh-CN" w:bidi="ar"/>
        </w:rPr>
        <w:t>)</w:t>
      </w:r>
    </w:p>
    <w:tbl>
      <w:tblPr>
        <w:tblStyle w:val="17"/>
        <w:tblW w:w="0" w:type="auto"/>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1637"/>
        <w:gridCol w:w="1225"/>
        <w:gridCol w:w="1886"/>
        <w:gridCol w:w="2410"/>
        <w:gridCol w:w="2551"/>
      </w:tblGrid>
      <w:tr w14:paraId="4BC193F4">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trHeight w:val="351" w:hRule="atLeast"/>
          <w:tblHeader/>
          <w:jc w:val="center"/>
        </w:trPr>
        <w:tc>
          <w:tcPr>
            <w:tcW w:w="1637" w:type="dxa"/>
            <w:vAlign w:val="center"/>
          </w:tcPr>
          <w:p w14:paraId="08F27FF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sz w:val="15"/>
                <w:szCs w:val="15"/>
              </w:rPr>
            </w:pPr>
            <w:r>
              <w:rPr>
                <w:rFonts w:hint="default" w:ascii="Times New Roman" w:hAnsi="Times New Roman" w:cs="Times New Roman"/>
                <w:sz w:val="15"/>
                <w:szCs w:val="15"/>
              </w:rPr>
              <w:t>References</w:t>
            </w:r>
          </w:p>
        </w:tc>
        <w:tc>
          <w:tcPr>
            <w:tcW w:w="1225" w:type="dxa"/>
            <w:vAlign w:val="center"/>
          </w:tcPr>
          <w:p w14:paraId="22940B2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sz w:val="15"/>
                <w:szCs w:val="15"/>
              </w:rPr>
            </w:pPr>
            <w:r>
              <w:rPr>
                <w:rFonts w:hint="default" w:ascii="Times New Roman" w:hAnsi="Times New Roman" w:cs="Times New Roman"/>
                <w:sz w:val="15"/>
                <w:szCs w:val="15"/>
              </w:rPr>
              <w:t>Property type</w:t>
            </w:r>
          </w:p>
        </w:tc>
        <w:tc>
          <w:tcPr>
            <w:tcW w:w="1886" w:type="dxa"/>
            <w:vAlign w:val="center"/>
          </w:tcPr>
          <w:p w14:paraId="249CC8F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sz w:val="15"/>
                <w:szCs w:val="15"/>
              </w:rPr>
            </w:pPr>
            <w:r>
              <w:rPr>
                <w:rFonts w:hint="default" w:ascii="Times New Roman" w:hAnsi="Times New Roman" w:cs="Times New Roman"/>
                <w:sz w:val="15"/>
                <w:szCs w:val="15"/>
              </w:rPr>
              <w:t>Solid phase</w:t>
            </w:r>
          </w:p>
        </w:tc>
        <w:tc>
          <w:tcPr>
            <w:tcW w:w="2410" w:type="dxa"/>
            <w:vAlign w:val="center"/>
          </w:tcPr>
          <w:p w14:paraId="42EFAEE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sz w:val="15"/>
                <w:szCs w:val="15"/>
              </w:rPr>
            </w:pPr>
            <w:r>
              <w:rPr>
                <w:rFonts w:hint="default" w:ascii="Times New Roman" w:hAnsi="Times New Roman" w:cs="Times New Roman"/>
                <w:sz w:val="15"/>
                <w:szCs w:val="15"/>
              </w:rPr>
              <w:t>Liquid phase</w:t>
            </w:r>
          </w:p>
        </w:tc>
        <w:tc>
          <w:tcPr>
            <w:tcW w:w="2551" w:type="dxa"/>
            <w:vAlign w:val="center"/>
          </w:tcPr>
          <w:p w14:paraId="18C45C7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sz w:val="15"/>
                <w:szCs w:val="15"/>
              </w:rPr>
            </w:pPr>
            <w:r>
              <w:rPr>
                <w:rFonts w:hint="default" w:ascii="Times New Roman" w:hAnsi="Times New Roman" w:cs="Times New Roman"/>
                <w:sz w:val="15"/>
                <w:szCs w:val="15"/>
              </w:rPr>
              <w:t>Test content</w:t>
            </w:r>
          </w:p>
        </w:tc>
      </w:tr>
      <w:tr w14:paraId="534B052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jc w:val="center"/>
        </w:trPr>
        <w:tc>
          <w:tcPr>
            <w:tcW w:w="1637" w:type="dxa"/>
            <w:tcBorders>
              <w:top w:val="single" w:color="auto" w:sz="4" w:space="0"/>
              <w:bottom w:val="nil"/>
            </w:tcBorders>
            <w:vAlign w:val="center"/>
          </w:tcPr>
          <w:p w14:paraId="7D4FD31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sz w:val="15"/>
                <w:szCs w:val="15"/>
              </w:rPr>
            </w:pPr>
            <w:r>
              <w:rPr>
                <w:rFonts w:hint="default" w:ascii="Times New Roman" w:hAnsi="Times New Roman" w:cs="Times New Roman"/>
                <w:sz w:val="15"/>
                <w:szCs w:val="15"/>
              </w:rPr>
              <w:t>Iskander et al. (1994)</w:t>
            </w:r>
            <w:r>
              <w:rPr>
                <w:rFonts w:hint="default" w:ascii="Times New Roman" w:hAnsi="Times New Roman" w:cs="Times New Roman"/>
                <w:sz w:val="15"/>
                <w:szCs w:val="15"/>
                <w:vertAlign w:val="superscript"/>
              </w:rPr>
              <w:fldChar w:fldCharType="begin"/>
            </w:r>
            <w:r>
              <w:rPr>
                <w:rFonts w:hint="default" w:ascii="Times New Roman" w:hAnsi="Times New Roman" w:cs="Times New Roman"/>
                <w:sz w:val="15"/>
                <w:szCs w:val="15"/>
                <w:vertAlign w:val="superscript"/>
              </w:rPr>
              <w:instrText xml:space="preserve"> REF _Ref179228270 \r \h  \* MERGEFORMAT </w:instrText>
            </w:r>
            <w:r>
              <w:rPr>
                <w:rFonts w:hint="default" w:ascii="Times New Roman" w:hAnsi="Times New Roman" w:cs="Times New Roman"/>
                <w:sz w:val="15"/>
                <w:szCs w:val="15"/>
                <w:vertAlign w:val="superscript"/>
              </w:rPr>
              <w:fldChar w:fldCharType="separate"/>
            </w:r>
            <w:r>
              <w:rPr>
                <w:rFonts w:hint="default" w:ascii="Times New Roman" w:hAnsi="Times New Roman" w:cs="Times New Roman"/>
                <w:sz w:val="15"/>
                <w:szCs w:val="15"/>
                <w:vertAlign w:val="superscript"/>
              </w:rPr>
              <w:t>[6]</w:t>
            </w:r>
            <w:r>
              <w:rPr>
                <w:rFonts w:hint="default" w:ascii="Times New Roman" w:hAnsi="Times New Roman" w:cs="Times New Roman"/>
                <w:sz w:val="15"/>
                <w:szCs w:val="15"/>
                <w:vertAlign w:val="superscript"/>
              </w:rPr>
              <w:fldChar w:fldCharType="end"/>
            </w:r>
            <w:r>
              <w:rPr>
                <w:rFonts w:hint="default" w:ascii="Times New Roman" w:hAnsi="Times New Roman" w:eastAsia="MS Gothic" w:cs="Times New Roman"/>
                <w:sz w:val="15"/>
                <w:szCs w:val="15"/>
              </w:rPr>
              <w:t xml:space="preserve"> </w:t>
            </w:r>
          </w:p>
        </w:tc>
        <w:tc>
          <w:tcPr>
            <w:tcW w:w="1225" w:type="dxa"/>
            <w:tcBorders>
              <w:bottom w:val="nil"/>
            </w:tcBorders>
            <w:vAlign w:val="center"/>
          </w:tcPr>
          <w:p w14:paraId="7DA4326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sz w:val="15"/>
                <w:szCs w:val="15"/>
              </w:rPr>
            </w:pPr>
            <w:r>
              <w:rPr>
                <w:rFonts w:hint="default" w:ascii="Times New Roman" w:hAnsi="Times New Roman" w:cs="Times New Roman"/>
                <w:sz w:val="15"/>
                <w:szCs w:val="15"/>
              </w:rPr>
              <w:t>Clays and silts</w:t>
            </w:r>
          </w:p>
        </w:tc>
        <w:tc>
          <w:tcPr>
            <w:tcW w:w="1886" w:type="dxa"/>
            <w:tcBorders>
              <w:bottom w:val="nil"/>
            </w:tcBorders>
            <w:vAlign w:val="center"/>
          </w:tcPr>
          <w:p w14:paraId="661789B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sz w:val="15"/>
                <w:szCs w:val="15"/>
              </w:rPr>
            </w:pPr>
            <w:r>
              <w:rPr>
                <w:rFonts w:hint="default" w:ascii="Times New Roman" w:hAnsi="Times New Roman" w:cs="Times New Roman"/>
                <w:sz w:val="15"/>
                <w:szCs w:val="15"/>
              </w:rPr>
              <w:t>Amorphous silica powder</w:t>
            </w:r>
          </w:p>
        </w:tc>
        <w:tc>
          <w:tcPr>
            <w:tcW w:w="2410" w:type="dxa"/>
            <w:tcBorders>
              <w:bottom w:val="nil"/>
            </w:tcBorders>
            <w:vAlign w:val="center"/>
          </w:tcPr>
          <w:p w14:paraId="573ACBF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方正书宋简体" w:cs="Times New Roman"/>
                <w:sz w:val="15"/>
                <w:szCs w:val="15"/>
                <w:lang w:eastAsia="zh-CN"/>
              </w:rPr>
            </w:pPr>
            <w:r>
              <w:rPr>
                <w:rFonts w:hint="default" w:ascii="Times New Roman" w:hAnsi="Times New Roman" w:cs="Times New Roman"/>
                <w:sz w:val="15"/>
                <w:szCs w:val="15"/>
              </w:rPr>
              <w:t>White mineral oil and a normal-paraffinic solvent</w:t>
            </w:r>
            <w:r>
              <w:rPr>
                <w:rFonts w:hint="eastAsia" w:ascii="Times New Roman" w:eastAsia="宋体" w:cs="Times New Roman"/>
                <w:sz w:val="15"/>
                <w:szCs w:val="15"/>
                <w:lang w:eastAsia="zh-CN"/>
              </w:rPr>
              <w:t>(</w:t>
            </w:r>
            <w:r>
              <w:rPr>
                <w:rFonts w:hint="default" w:ascii="Times New Roman" w:hAnsi="Times New Roman" w:cs="Times New Roman"/>
                <w:sz w:val="15"/>
                <w:szCs w:val="15"/>
              </w:rPr>
              <w:t>calcium bromide and water</w:t>
            </w:r>
            <w:r>
              <w:rPr>
                <w:rFonts w:hint="eastAsia" w:ascii="Times New Roman" w:eastAsia="宋体" w:cs="Times New Roman"/>
                <w:sz w:val="15"/>
                <w:szCs w:val="15"/>
                <w:lang w:eastAsia="zh-CN"/>
              </w:rPr>
              <w:t>)</w:t>
            </w:r>
          </w:p>
        </w:tc>
        <w:tc>
          <w:tcPr>
            <w:tcW w:w="2551" w:type="dxa"/>
            <w:tcBorders>
              <w:bottom w:val="nil"/>
            </w:tcBorders>
            <w:vAlign w:val="center"/>
          </w:tcPr>
          <w:p w14:paraId="7B53B3C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sz w:val="15"/>
                <w:szCs w:val="15"/>
              </w:rPr>
            </w:pPr>
            <w:r>
              <w:rPr>
                <w:rFonts w:hint="default" w:ascii="Times New Roman" w:hAnsi="Times New Roman" w:cs="Times New Roman"/>
                <w:sz w:val="15"/>
                <w:szCs w:val="15"/>
              </w:rPr>
              <w:t>Consolidation and triaxial compression tests</w:t>
            </w:r>
          </w:p>
        </w:tc>
      </w:tr>
      <w:tr w14:paraId="0E8F2708">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jc w:val="center"/>
        </w:trPr>
        <w:tc>
          <w:tcPr>
            <w:tcW w:w="1637" w:type="dxa"/>
            <w:tcBorders>
              <w:top w:val="nil"/>
              <w:bottom w:val="nil"/>
            </w:tcBorders>
            <w:vAlign w:val="center"/>
          </w:tcPr>
          <w:p w14:paraId="3A6F503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sz w:val="15"/>
                <w:szCs w:val="15"/>
              </w:rPr>
            </w:pPr>
            <w:r>
              <w:rPr>
                <w:rFonts w:hint="default" w:ascii="Times New Roman" w:hAnsi="Times New Roman" w:cs="Times New Roman"/>
                <w:sz w:val="15"/>
                <w:szCs w:val="15"/>
              </w:rPr>
              <w:t>Iskander et al. (2002)</w:t>
            </w:r>
            <w:r>
              <w:rPr>
                <w:rFonts w:hint="default" w:ascii="Times New Roman" w:hAnsi="Times New Roman" w:cs="Times New Roman"/>
                <w:sz w:val="15"/>
                <w:szCs w:val="15"/>
                <w:vertAlign w:val="superscript"/>
              </w:rPr>
              <w:fldChar w:fldCharType="begin"/>
            </w:r>
            <w:r>
              <w:rPr>
                <w:rFonts w:hint="default" w:ascii="Times New Roman" w:hAnsi="Times New Roman" w:cs="Times New Roman"/>
                <w:sz w:val="15"/>
                <w:szCs w:val="15"/>
                <w:vertAlign w:val="superscript"/>
              </w:rPr>
              <w:instrText xml:space="preserve"> REF _Ref179228383 \r \h  \* MERGEFORMAT </w:instrText>
            </w:r>
            <w:r>
              <w:rPr>
                <w:rFonts w:hint="default" w:ascii="Times New Roman" w:hAnsi="Times New Roman" w:cs="Times New Roman"/>
                <w:sz w:val="15"/>
                <w:szCs w:val="15"/>
                <w:vertAlign w:val="superscript"/>
              </w:rPr>
              <w:fldChar w:fldCharType="separate"/>
            </w:r>
            <w:r>
              <w:rPr>
                <w:rFonts w:hint="default" w:ascii="Times New Roman" w:hAnsi="Times New Roman" w:cs="Times New Roman"/>
                <w:sz w:val="15"/>
                <w:szCs w:val="15"/>
                <w:vertAlign w:val="superscript"/>
              </w:rPr>
              <w:t>[9]</w:t>
            </w:r>
            <w:r>
              <w:rPr>
                <w:rFonts w:hint="default" w:ascii="Times New Roman" w:hAnsi="Times New Roman" w:cs="Times New Roman"/>
                <w:sz w:val="15"/>
                <w:szCs w:val="15"/>
                <w:vertAlign w:val="superscript"/>
              </w:rPr>
              <w:fldChar w:fldCharType="end"/>
            </w:r>
            <w:r>
              <w:rPr>
                <w:rFonts w:hint="default" w:ascii="Times New Roman" w:hAnsi="Times New Roman" w:eastAsia="MS Gothic" w:cs="Times New Roman"/>
                <w:sz w:val="15"/>
                <w:szCs w:val="15"/>
              </w:rPr>
              <w:t xml:space="preserve"> </w:t>
            </w:r>
          </w:p>
        </w:tc>
        <w:tc>
          <w:tcPr>
            <w:tcW w:w="1225" w:type="dxa"/>
            <w:tcBorders>
              <w:top w:val="nil"/>
              <w:bottom w:val="nil"/>
            </w:tcBorders>
            <w:vAlign w:val="center"/>
          </w:tcPr>
          <w:p w14:paraId="5C196A7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sz w:val="15"/>
                <w:szCs w:val="15"/>
              </w:rPr>
            </w:pPr>
            <w:r>
              <w:rPr>
                <w:rFonts w:hint="default" w:ascii="Times New Roman" w:hAnsi="Times New Roman" w:cs="Times New Roman"/>
                <w:sz w:val="15"/>
                <w:szCs w:val="15"/>
              </w:rPr>
              <w:t>Clay</w:t>
            </w:r>
          </w:p>
        </w:tc>
        <w:tc>
          <w:tcPr>
            <w:tcW w:w="1886" w:type="dxa"/>
            <w:tcBorders>
              <w:top w:val="nil"/>
              <w:bottom w:val="nil"/>
            </w:tcBorders>
            <w:vAlign w:val="center"/>
          </w:tcPr>
          <w:p w14:paraId="11483D8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sz w:val="15"/>
                <w:szCs w:val="15"/>
              </w:rPr>
            </w:pPr>
            <w:r>
              <w:rPr>
                <w:rFonts w:hint="default" w:ascii="Times New Roman" w:hAnsi="Times New Roman" w:cs="Times New Roman"/>
                <w:sz w:val="15"/>
                <w:szCs w:val="15"/>
              </w:rPr>
              <w:t>Silicas with aggregate sizes of 1.4–175 μm</w:t>
            </w:r>
          </w:p>
        </w:tc>
        <w:tc>
          <w:tcPr>
            <w:tcW w:w="2410" w:type="dxa"/>
            <w:tcBorders>
              <w:top w:val="nil"/>
              <w:bottom w:val="nil"/>
            </w:tcBorders>
            <w:vAlign w:val="center"/>
          </w:tcPr>
          <w:p w14:paraId="2BCC16E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sz w:val="15"/>
                <w:szCs w:val="15"/>
              </w:rPr>
            </w:pPr>
            <w:r>
              <w:rPr>
                <w:rFonts w:hint="default" w:ascii="Times New Roman" w:hAnsi="Times New Roman" w:cs="Times New Roman"/>
                <w:sz w:val="15"/>
                <w:szCs w:val="15"/>
              </w:rPr>
              <w:t>1:1 (w/w) blend of Drakeol 35</w:t>
            </w:r>
            <w:r>
              <w:rPr>
                <w:rFonts w:hint="default" w:ascii="Times New Roman" w:hAnsi="Times New Roman" w:cs="Times New Roman"/>
                <w:sz w:val="15"/>
                <w:szCs w:val="15"/>
                <w:vertAlign w:val="superscript"/>
              </w:rPr>
              <w:t>®</w:t>
            </w:r>
            <w:r>
              <w:rPr>
                <w:rFonts w:hint="default" w:ascii="Times New Roman" w:hAnsi="Times New Roman" w:cs="Times New Roman"/>
                <w:sz w:val="15"/>
                <w:szCs w:val="15"/>
              </w:rPr>
              <w:t xml:space="preserve"> mineral oil and Norpar 12</w:t>
            </w:r>
            <w:r>
              <w:rPr>
                <w:rFonts w:hint="default" w:ascii="Times New Roman" w:hAnsi="Times New Roman" w:cs="Times New Roman"/>
                <w:sz w:val="15"/>
                <w:szCs w:val="15"/>
                <w:vertAlign w:val="superscript"/>
              </w:rPr>
              <w:t>®</w:t>
            </w:r>
            <w:r>
              <w:rPr>
                <w:rFonts w:hint="default" w:ascii="Times New Roman" w:hAnsi="Times New Roman" w:cs="Times New Roman"/>
                <w:sz w:val="15"/>
                <w:szCs w:val="15"/>
              </w:rPr>
              <w:t xml:space="preserve"> paraffinic solvent</w:t>
            </w:r>
          </w:p>
        </w:tc>
        <w:tc>
          <w:tcPr>
            <w:tcW w:w="2551" w:type="dxa"/>
            <w:tcBorders>
              <w:top w:val="nil"/>
              <w:bottom w:val="nil"/>
            </w:tcBorders>
            <w:vAlign w:val="center"/>
          </w:tcPr>
          <w:p w14:paraId="2155F5F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sz w:val="15"/>
                <w:szCs w:val="15"/>
              </w:rPr>
            </w:pPr>
            <w:r>
              <w:rPr>
                <w:rFonts w:hint="default" w:ascii="Times New Roman" w:hAnsi="Times New Roman" w:cs="Times New Roman"/>
                <w:sz w:val="15"/>
                <w:szCs w:val="15"/>
              </w:rPr>
              <w:t>Consolidation and triaxial compression tests</w:t>
            </w:r>
          </w:p>
        </w:tc>
      </w:tr>
      <w:tr w14:paraId="6BE52EC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cantSplit/>
          <w:jc w:val="center"/>
        </w:trPr>
        <w:tc>
          <w:tcPr>
            <w:tcW w:w="1637" w:type="dxa"/>
            <w:tcBorders>
              <w:top w:val="nil"/>
              <w:bottom w:val="nil"/>
            </w:tcBorders>
            <w:vAlign w:val="center"/>
          </w:tcPr>
          <w:p w14:paraId="0BC6F68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sz w:val="15"/>
                <w:szCs w:val="15"/>
              </w:rPr>
            </w:pPr>
            <w:r>
              <w:rPr>
                <w:rFonts w:hint="default" w:ascii="Times New Roman" w:hAnsi="Times New Roman" w:cs="Times New Roman"/>
                <w:sz w:val="15"/>
                <w:szCs w:val="15"/>
              </w:rPr>
              <w:t>Yuan et al. (2021)</w:t>
            </w:r>
            <w:r>
              <w:rPr>
                <w:rFonts w:hint="default" w:ascii="Times New Roman" w:hAnsi="Times New Roman" w:cs="Times New Roman"/>
                <w:sz w:val="15"/>
                <w:szCs w:val="15"/>
                <w:vertAlign w:val="superscript"/>
              </w:rPr>
              <w:fldChar w:fldCharType="begin"/>
            </w:r>
            <w:r>
              <w:rPr>
                <w:rFonts w:hint="default" w:ascii="Times New Roman" w:hAnsi="Times New Roman" w:cs="Times New Roman"/>
                <w:sz w:val="15"/>
                <w:szCs w:val="15"/>
                <w:vertAlign w:val="superscript"/>
              </w:rPr>
              <w:instrText xml:space="preserve"> REF _Ref179228737 \r \h  \* MERGEFORMAT </w:instrText>
            </w:r>
            <w:r>
              <w:rPr>
                <w:rFonts w:hint="default" w:ascii="Times New Roman" w:hAnsi="Times New Roman" w:cs="Times New Roman"/>
                <w:sz w:val="15"/>
                <w:szCs w:val="15"/>
                <w:vertAlign w:val="superscript"/>
              </w:rPr>
              <w:fldChar w:fldCharType="separate"/>
            </w:r>
            <w:r>
              <w:rPr>
                <w:rFonts w:hint="default" w:ascii="Times New Roman" w:hAnsi="Times New Roman" w:cs="Times New Roman"/>
                <w:sz w:val="15"/>
                <w:szCs w:val="15"/>
                <w:vertAlign w:val="superscript"/>
              </w:rPr>
              <w:t>[19]</w:t>
            </w:r>
            <w:r>
              <w:rPr>
                <w:rFonts w:hint="default" w:ascii="Times New Roman" w:hAnsi="Times New Roman" w:cs="Times New Roman"/>
                <w:sz w:val="15"/>
                <w:szCs w:val="15"/>
                <w:vertAlign w:val="superscript"/>
              </w:rPr>
              <w:fldChar w:fldCharType="end"/>
            </w:r>
          </w:p>
        </w:tc>
        <w:tc>
          <w:tcPr>
            <w:tcW w:w="1225" w:type="dxa"/>
            <w:tcBorders>
              <w:top w:val="nil"/>
              <w:bottom w:val="nil"/>
            </w:tcBorders>
            <w:vAlign w:val="center"/>
          </w:tcPr>
          <w:p w14:paraId="45E0079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sz w:val="15"/>
                <w:szCs w:val="15"/>
              </w:rPr>
            </w:pPr>
            <w:r>
              <w:rPr>
                <w:rFonts w:hint="default" w:ascii="Times New Roman" w:hAnsi="Times New Roman" w:cs="Times New Roman"/>
                <w:sz w:val="15"/>
                <w:szCs w:val="15"/>
              </w:rPr>
              <w:t>Saturated solution soil</w:t>
            </w:r>
          </w:p>
        </w:tc>
        <w:tc>
          <w:tcPr>
            <w:tcW w:w="1886" w:type="dxa"/>
            <w:tcBorders>
              <w:top w:val="nil"/>
              <w:bottom w:val="nil"/>
            </w:tcBorders>
            <w:vAlign w:val="center"/>
          </w:tcPr>
          <w:p w14:paraId="0B2C986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sz w:val="15"/>
                <w:szCs w:val="15"/>
              </w:rPr>
            </w:pPr>
            <w:r>
              <w:rPr>
                <w:rFonts w:hint="default" w:ascii="Times New Roman" w:hAnsi="Times New Roman" w:cs="Times New Roman"/>
                <w:sz w:val="15"/>
                <w:szCs w:val="15"/>
              </w:rPr>
              <w:t>Glass sand</w:t>
            </w:r>
          </w:p>
        </w:tc>
        <w:tc>
          <w:tcPr>
            <w:tcW w:w="2410" w:type="dxa"/>
            <w:tcBorders>
              <w:top w:val="nil"/>
              <w:bottom w:val="nil"/>
            </w:tcBorders>
            <w:vAlign w:val="center"/>
          </w:tcPr>
          <w:p w14:paraId="57DAA37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sz w:val="15"/>
                <w:szCs w:val="15"/>
              </w:rPr>
            </w:pPr>
            <w:r>
              <w:rPr>
                <w:rFonts w:hint="default" w:ascii="Times New Roman" w:hAnsi="Times New Roman" w:cs="Times New Roman"/>
                <w:i/>
                <w:sz w:val="15"/>
                <w:szCs w:val="15"/>
              </w:rPr>
              <w:t>n</w:t>
            </w:r>
            <w:r>
              <w:rPr>
                <w:rFonts w:hint="default" w:ascii="Times New Roman" w:hAnsi="Times New Roman" w:cs="Times New Roman"/>
                <w:sz w:val="15"/>
                <w:szCs w:val="15"/>
              </w:rPr>
              <w:t>-Dodecane and no. 15 white oil with a transparent pore solution</w:t>
            </w:r>
          </w:p>
        </w:tc>
        <w:tc>
          <w:tcPr>
            <w:tcW w:w="2551" w:type="dxa"/>
            <w:tcBorders>
              <w:top w:val="nil"/>
              <w:bottom w:val="nil"/>
            </w:tcBorders>
            <w:vAlign w:val="center"/>
          </w:tcPr>
          <w:p w14:paraId="5CABDD5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sz w:val="15"/>
                <w:szCs w:val="15"/>
              </w:rPr>
            </w:pPr>
            <w:r>
              <w:rPr>
                <w:rFonts w:hint="default" w:ascii="Times New Roman" w:hAnsi="Times New Roman" w:cs="Times New Roman"/>
                <w:sz w:val="15"/>
                <w:szCs w:val="15"/>
              </w:rPr>
              <w:t>Displacement field of layered soils surrounding laterally loaded pile</w:t>
            </w:r>
          </w:p>
        </w:tc>
      </w:tr>
      <w:tr w14:paraId="79A5A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37" w:type="dxa"/>
            <w:tcBorders>
              <w:top w:val="nil"/>
              <w:left w:val="nil"/>
              <w:bottom w:val="single" w:color="auto" w:sz="4" w:space="0"/>
              <w:right w:val="nil"/>
            </w:tcBorders>
            <w:vAlign w:val="center"/>
          </w:tcPr>
          <w:p w14:paraId="69A55BE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sz w:val="15"/>
                <w:szCs w:val="15"/>
              </w:rPr>
            </w:pPr>
            <w:r>
              <w:rPr>
                <w:rFonts w:hint="default" w:ascii="Times New Roman" w:hAnsi="Times New Roman" w:cs="Times New Roman"/>
                <w:sz w:val="15"/>
                <w:szCs w:val="15"/>
              </w:rPr>
              <w:t>Kong et al. (2020)</w:t>
            </w:r>
            <w:r>
              <w:rPr>
                <w:rFonts w:hint="default" w:ascii="Times New Roman" w:hAnsi="Times New Roman" w:cs="Times New Roman"/>
                <w:sz w:val="15"/>
                <w:szCs w:val="15"/>
                <w:vertAlign w:val="superscript"/>
              </w:rPr>
              <w:fldChar w:fldCharType="begin"/>
            </w:r>
            <w:r>
              <w:rPr>
                <w:rFonts w:hint="default" w:ascii="Times New Roman" w:hAnsi="Times New Roman" w:cs="Times New Roman"/>
                <w:sz w:val="15"/>
                <w:szCs w:val="15"/>
                <w:vertAlign w:val="superscript"/>
              </w:rPr>
              <w:instrText xml:space="preserve"> REF _Ref179228796 \r \h  \* MERGEFORMAT </w:instrText>
            </w:r>
            <w:r>
              <w:rPr>
                <w:rFonts w:hint="default" w:ascii="Times New Roman" w:hAnsi="Times New Roman" w:cs="Times New Roman"/>
                <w:sz w:val="15"/>
                <w:szCs w:val="15"/>
                <w:vertAlign w:val="superscript"/>
              </w:rPr>
              <w:fldChar w:fldCharType="separate"/>
            </w:r>
            <w:r>
              <w:rPr>
                <w:rFonts w:hint="default" w:ascii="Times New Roman" w:hAnsi="Times New Roman" w:cs="Times New Roman"/>
                <w:sz w:val="15"/>
                <w:szCs w:val="15"/>
                <w:vertAlign w:val="superscript"/>
              </w:rPr>
              <w:t>[30]</w:t>
            </w:r>
            <w:r>
              <w:rPr>
                <w:rFonts w:hint="default" w:ascii="Times New Roman" w:hAnsi="Times New Roman" w:cs="Times New Roman"/>
                <w:sz w:val="15"/>
                <w:szCs w:val="15"/>
                <w:vertAlign w:val="superscript"/>
              </w:rPr>
              <w:fldChar w:fldCharType="end"/>
            </w:r>
          </w:p>
        </w:tc>
        <w:tc>
          <w:tcPr>
            <w:tcW w:w="1225" w:type="dxa"/>
            <w:tcBorders>
              <w:top w:val="nil"/>
              <w:left w:val="nil"/>
              <w:bottom w:val="single" w:color="auto" w:sz="4" w:space="0"/>
              <w:right w:val="nil"/>
            </w:tcBorders>
            <w:vAlign w:val="center"/>
          </w:tcPr>
          <w:p w14:paraId="7AAD774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sz w:val="15"/>
                <w:szCs w:val="15"/>
              </w:rPr>
            </w:pPr>
            <w:r>
              <w:rPr>
                <w:rFonts w:hint="default" w:ascii="Times New Roman" w:hAnsi="Times New Roman" w:cs="Times New Roman"/>
                <w:sz w:val="15"/>
                <w:szCs w:val="15"/>
              </w:rPr>
              <w:t>Clay</w:t>
            </w:r>
          </w:p>
        </w:tc>
        <w:tc>
          <w:tcPr>
            <w:tcW w:w="1886" w:type="dxa"/>
            <w:tcBorders>
              <w:top w:val="nil"/>
              <w:left w:val="nil"/>
              <w:bottom w:val="single" w:color="auto" w:sz="4" w:space="0"/>
              <w:right w:val="nil"/>
            </w:tcBorders>
            <w:vAlign w:val="center"/>
          </w:tcPr>
          <w:p w14:paraId="3E6C88C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sz w:val="15"/>
                <w:szCs w:val="15"/>
              </w:rPr>
            </w:pPr>
            <w:r>
              <w:rPr>
                <w:rFonts w:hint="default" w:ascii="Times New Roman" w:hAnsi="Times New Roman" w:cs="Times New Roman"/>
                <w:sz w:val="15"/>
                <w:szCs w:val="15"/>
              </w:rPr>
              <w:t>Insoluble acrylic acid polymer</w:t>
            </w:r>
          </w:p>
        </w:tc>
        <w:tc>
          <w:tcPr>
            <w:tcW w:w="2410" w:type="dxa"/>
            <w:tcBorders>
              <w:top w:val="nil"/>
              <w:left w:val="nil"/>
              <w:bottom w:val="single" w:color="auto" w:sz="4" w:space="0"/>
              <w:right w:val="nil"/>
            </w:tcBorders>
            <w:vAlign w:val="center"/>
          </w:tcPr>
          <w:p w14:paraId="4FCEE93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sz w:val="15"/>
                <w:szCs w:val="15"/>
              </w:rPr>
            </w:pPr>
            <w:r>
              <w:rPr>
                <w:rFonts w:hint="default" w:ascii="Times New Roman" w:hAnsi="Times New Roman" w:cs="Times New Roman"/>
                <w:sz w:val="15"/>
                <w:szCs w:val="15"/>
              </w:rPr>
              <w:t>Water</w:t>
            </w:r>
          </w:p>
        </w:tc>
        <w:tc>
          <w:tcPr>
            <w:tcW w:w="2551" w:type="dxa"/>
            <w:tcBorders>
              <w:top w:val="nil"/>
              <w:left w:val="nil"/>
              <w:bottom w:val="single" w:color="auto" w:sz="4" w:space="0"/>
              <w:right w:val="nil"/>
            </w:tcBorders>
            <w:vAlign w:val="center"/>
          </w:tcPr>
          <w:p w14:paraId="58F8B66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sz w:val="15"/>
                <w:szCs w:val="15"/>
              </w:rPr>
            </w:pPr>
            <w:r>
              <w:rPr>
                <w:rFonts w:hint="default" w:ascii="Times New Roman" w:hAnsi="Times New Roman" w:cs="Times New Roman"/>
                <w:sz w:val="15"/>
                <w:szCs w:val="15"/>
              </w:rPr>
              <w:t>Consolidation, penetration, and thermal conductivity tests</w:t>
            </w:r>
          </w:p>
        </w:tc>
      </w:tr>
    </w:tbl>
    <w:p w14:paraId="0B8D0BC0">
      <w:pPr>
        <w:keepLines w:val="0"/>
        <w:pageBreakBefore w:val="0"/>
        <w:kinsoku/>
        <w:wordWrap/>
        <w:overflowPunct/>
        <w:topLinePunct w:val="0"/>
        <w:autoSpaceDE/>
        <w:autoSpaceDN/>
        <w:bidi w:val="0"/>
        <w:adjustRightInd w:val="0"/>
        <w:snapToGrid w:val="0"/>
        <w:spacing w:line="240" w:lineRule="auto"/>
        <w:textAlignment w:val="auto"/>
        <w:rPr>
          <w:rFonts w:ascii="Times New Roman"/>
          <w:sz w:val="24"/>
        </w:rPr>
        <w:sectPr>
          <w:footerReference r:id="rId11" w:type="default"/>
          <w:type w:val="continuous"/>
          <w:pgSz w:w="11906" w:h="16838"/>
          <w:pgMar w:top="1247" w:right="1106" w:bottom="1247" w:left="1106" w:header="851" w:footer="1247" w:gutter="0"/>
          <w:cols w:space="425" w:num="1"/>
          <w:titlePg/>
          <w:docGrid w:type="linesAndChars" w:linePitch="312" w:charSpace="0"/>
        </w:sectPr>
      </w:pPr>
    </w:p>
    <w:p w14:paraId="2E95471E">
      <w:pPr>
        <w:keepLines w:val="0"/>
        <w:pageBreakBefore w:val="0"/>
        <w:kinsoku/>
        <w:wordWrap/>
        <w:overflowPunct/>
        <w:topLinePunct w:val="0"/>
        <w:autoSpaceDE/>
        <w:autoSpaceDN/>
        <w:bidi w:val="0"/>
        <w:adjustRightInd w:val="0"/>
        <w:snapToGrid w:val="0"/>
        <w:spacing w:line="240" w:lineRule="auto"/>
        <w:textAlignment w:val="auto"/>
        <w:rPr>
          <w:rFonts w:ascii="Times New Roman"/>
          <w:sz w:val="24"/>
        </w:rPr>
      </w:pPr>
    </w:p>
    <w:p w14:paraId="065A35BF">
      <w:pPr>
        <w:pStyle w:val="3"/>
        <w:keepLines w:val="0"/>
        <w:pageBreakBefore w:val="0"/>
        <w:kinsoku/>
        <w:wordWrap/>
        <w:overflowPunct/>
        <w:topLinePunct w:val="0"/>
        <w:autoSpaceDE/>
        <w:autoSpaceDN/>
        <w:bidi w:val="0"/>
        <w:spacing w:line="240" w:lineRule="auto"/>
        <w:textAlignment w:val="auto"/>
        <w:rPr>
          <w:sz w:val="21"/>
          <w:szCs w:val="21"/>
        </w:rPr>
      </w:pPr>
      <w:r>
        <w:rPr>
          <w:b/>
          <w:bCs/>
          <w:sz w:val="21"/>
          <w:szCs w:val="21"/>
        </w:rPr>
        <w:t>Speckle preparation methods and application status</w:t>
      </w:r>
    </w:p>
    <w:p w14:paraId="6EB2272C">
      <w:pPr>
        <w:pStyle w:val="4"/>
        <w:keepLines w:val="0"/>
        <w:pageBreakBefore w:val="0"/>
        <w:kinsoku/>
        <w:wordWrap/>
        <w:overflowPunct/>
        <w:topLinePunct w:val="0"/>
        <w:autoSpaceDE/>
        <w:autoSpaceDN/>
        <w:bidi w:val="0"/>
        <w:adjustRightInd w:val="0"/>
        <w:snapToGrid w:val="0"/>
        <w:spacing w:line="240" w:lineRule="auto"/>
        <w:textAlignment w:val="auto"/>
        <w:rPr>
          <w:rFonts w:ascii="Times New Roman"/>
          <w:sz w:val="21"/>
          <w:szCs w:val="21"/>
        </w:rPr>
      </w:pPr>
      <w:r>
        <w:rPr>
          <w:rFonts w:ascii="Times New Roman"/>
          <w:sz w:val="21"/>
          <w:szCs w:val="21"/>
        </w:rPr>
        <w:t>Speckle preparation methods</w:t>
      </w:r>
    </w:p>
    <w:p w14:paraId="20DD68A5">
      <w:pPr>
        <w:keepLines w:val="0"/>
        <w:pageBreakBefore w:val="0"/>
        <w:kinsoku/>
        <w:wordWrap/>
        <w:overflowPunct/>
        <w:topLinePunct w:val="0"/>
        <w:autoSpaceDE/>
        <w:autoSpaceDN/>
        <w:bidi w:val="0"/>
        <w:adjustRightInd w:val="0"/>
        <w:snapToGrid w:val="0"/>
        <w:spacing w:line="240" w:lineRule="auto"/>
        <w:ind w:firstLine="480"/>
        <w:textAlignment w:val="auto"/>
        <w:rPr>
          <w:rFonts w:hint="default" w:ascii="Times New Roman" w:hAnsi="Times New Roman" w:cs="Times New Roman"/>
          <w:sz w:val="21"/>
          <w:szCs w:val="21"/>
        </w:rPr>
      </w:pPr>
      <w:r>
        <w:rPr>
          <w:rFonts w:hint="default" w:ascii="Times New Roman" w:hAnsi="Times New Roman" w:cs="Times New Roman"/>
          <w:sz w:val="21"/>
          <w:szCs w:val="21"/>
        </w:rPr>
        <w:t>Zhou et al.</w:t>
      </w:r>
      <w:r>
        <w:rPr>
          <w:rFonts w:hint="default" w:ascii="Times New Roman" w:hAnsi="Times New Roman" w:cs="Times New Roman"/>
          <w:sz w:val="21"/>
          <w:szCs w:val="21"/>
          <w:vertAlign w:val="superscript"/>
        </w:rPr>
        <w:t>[84]</w:t>
      </w:r>
      <w:r>
        <w:rPr>
          <w:rFonts w:hint="default" w:ascii="Times New Roman" w:hAnsi="Times New Roman" w:cs="Times New Roman"/>
          <w:sz w:val="21"/>
          <w:szCs w:val="21"/>
        </w:rPr>
        <w:t xml:space="preserve"> employed a 3D printing technique to fabricate transparent granular soils, achieving satisfactory speckle patterns without the addition of tracer particles (Fig. 1). This approach relies on intrinsic material heterogeneity to generate speckle patterns</w:t>
      </w:r>
      <w:r>
        <w:rPr>
          <w:rFonts w:hint="default" w:ascii="Times New Roman" w:hAnsi="Times New Roman" w:cs="Times New Roman"/>
          <w:sz w:val="21"/>
          <w:szCs w:val="21"/>
          <w:vertAlign w:val="superscript"/>
        </w:rPr>
        <w:t>[85]</w:t>
      </w:r>
      <w:r>
        <w:rPr>
          <w:rFonts w:hint="default" w:ascii="Times New Roman" w:hAnsi="Times New Roman" w:cs="Times New Roman"/>
          <w:sz w:val="21"/>
          <w:szCs w:val="21"/>
        </w:rPr>
        <w:t xml:space="preserve"> and thereby eliminates the need for foreign additives but requires stringent control over material properties and laser parameters.</w:t>
      </w:r>
    </w:p>
    <w:p w14:paraId="73B7EF89">
      <w:pPr>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lang w:val="en-IN" w:eastAsia="ja-JP"/>
        </w:rPr>
        <w:drawing>
          <wp:inline distT="0" distB="0" distL="0" distR="0">
            <wp:extent cx="2033270" cy="1289685"/>
            <wp:effectExtent l="0" t="0" r="5080" b="5715"/>
            <wp:docPr id="12726783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678337" name="图片 1"/>
                    <pic:cNvPicPr>
                      <a:picLocks noChangeAspect="1"/>
                    </pic:cNvPicPr>
                  </pic:nvPicPr>
                  <pic:blipFill>
                    <a:blip r:embed="rId13" cstate="hqprint">
                      <a:extLst>
                        <a:ext uri="{28A0092B-C50C-407E-A947-70E740481C1C}">
                          <a14:useLocalDpi xmlns:a14="http://schemas.microsoft.com/office/drawing/2010/main" val="0"/>
                        </a:ext>
                      </a:extLst>
                    </a:blip>
                    <a:stretch>
                      <a:fillRect/>
                    </a:stretch>
                  </pic:blipFill>
                  <pic:spPr>
                    <a:xfrm>
                      <a:off x="0" y="0"/>
                      <a:ext cx="2044362" cy="1297027"/>
                    </a:xfrm>
                    <a:prstGeom prst="rect">
                      <a:avLst/>
                    </a:prstGeom>
                  </pic:spPr>
                </pic:pic>
              </a:graphicData>
            </a:graphic>
          </wp:inline>
        </w:drawing>
      </w:r>
    </w:p>
    <w:p w14:paraId="6AD1E3D0">
      <w:pPr>
        <w:pStyle w:val="5"/>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Style w:val="43"/>
          <w:rFonts w:hint="default" w:ascii="Times New Roman" w:hAnsi="Times New Roman" w:cs="Times New Roman"/>
          <w:sz w:val="18"/>
          <w:szCs w:val="18"/>
          <w:vertAlign w:val="superscript"/>
        </w:rPr>
      </w:pPr>
      <w:r>
        <w:rPr>
          <w:rFonts w:hint="default" w:ascii="Times New Roman" w:hAnsi="Times New Roman" w:cs="Times New Roman"/>
          <w:b/>
          <w:bCs/>
          <w:kern w:val="0"/>
          <w:sz w:val="18"/>
          <w:szCs w:val="18"/>
          <w14:ligatures w14:val="none"/>
        </w:rPr>
        <w:t>Fig.</w:t>
      </w:r>
      <w:r>
        <w:rPr>
          <w:rFonts w:hint="eastAsia" w:ascii="Times New Roman" w:hAnsi="Times New Roman" w:cs="Times New Roman"/>
          <w:b/>
          <w:bCs/>
          <w:kern w:val="0"/>
          <w:sz w:val="18"/>
          <w:szCs w:val="18"/>
          <w:lang w:val="en-US" w:eastAsia="zh-CN"/>
          <w14:ligatures w14:val="none"/>
        </w:rPr>
        <w:t xml:space="preserve"> </w:t>
      </w:r>
      <w:r>
        <w:rPr>
          <w:rFonts w:hint="default" w:ascii="Times New Roman" w:hAnsi="Times New Roman" w:cs="Times New Roman"/>
          <w:b/>
          <w:bCs/>
          <w:kern w:val="0"/>
          <w:sz w:val="18"/>
          <w:szCs w:val="18"/>
          <w14:ligatures w14:val="none"/>
        </w:rPr>
        <w:fldChar w:fldCharType="begin"/>
      </w:r>
      <w:r>
        <w:rPr>
          <w:rFonts w:hint="default" w:ascii="Times New Roman" w:hAnsi="Times New Roman" w:cs="Times New Roman"/>
          <w:b/>
          <w:bCs/>
          <w:kern w:val="0"/>
          <w:sz w:val="18"/>
          <w:szCs w:val="18"/>
          <w14:ligatures w14:val="none"/>
        </w:rPr>
        <w:instrText xml:space="preserve"> SEQ Fig. \* ARABIC </w:instrText>
      </w:r>
      <w:r>
        <w:rPr>
          <w:rFonts w:hint="default" w:ascii="Times New Roman" w:hAnsi="Times New Roman" w:cs="Times New Roman"/>
          <w:b/>
          <w:bCs/>
          <w:kern w:val="0"/>
          <w:sz w:val="18"/>
          <w:szCs w:val="18"/>
          <w14:ligatures w14:val="none"/>
        </w:rPr>
        <w:fldChar w:fldCharType="separate"/>
      </w:r>
      <w:r>
        <w:rPr>
          <w:rFonts w:hint="default" w:ascii="Times New Roman" w:hAnsi="Times New Roman" w:cs="Times New Roman"/>
          <w:b/>
          <w:bCs/>
          <w:kern w:val="0"/>
          <w:sz w:val="18"/>
          <w:szCs w:val="18"/>
          <w14:ligatures w14:val="none"/>
        </w:rPr>
        <w:t>1</w:t>
      </w:r>
      <w:r>
        <w:rPr>
          <w:rFonts w:hint="default" w:ascii="Times New Roman" w:hAnsi="Times New Roman" w:cs="Times New Roman"/>
          <w:b/>
          <w:bCs/>
          <w:kern w:val="0"/>
          <w:sz w:val="18"/>
          <w:szCs w:val="18"/>
          <w14:ligatures w14:val="none"/>
        </w:rPr>
        <w:fldChar w:fldCharType="end"/>
      </w:r>
      <w:r>
        <w:rPr>
          <w:rFonts w:hint="eastAsia" w:ascii="Times New Roman" w:hAnsi="Times New Roman" w:cs="Times New Roman"/>
          <w:b/>
          <w:bCs/>
          <w:color w:val="FF0000"/>
          <w:kern w:val="0"/>
          <w:sz w:val="18"/>
          <w:szCs w:val="18"/>
          <w:lang w:val="en-US" w:eastAsia="zh-CN"/>
          <w14:ligatures w14:val="none"/>
        </w:rPr>
        <w:t xml:space="preserve">(9pt, </w:t>
      </w:r>
      <w:r>
        <w:rPr>
          <w:rFonts w:hint="default" w:ascii="Times New Roman" w:hAnsi="Times New Roman" w:eastAsia="宋体" w:cs="Times New Roman"/>
          <w:b/>
          <w:bCs/>
          <w:color w:val="FF0000"/>
          <w:kern w:val="2"/>
          <w:sz w:val="18"/>
          <w:szCs w:val="18"/>
          <w:lang w:val="en-US" w:eastAsia="zh-CN" w:bidi="ar"/>
        </w:rPr>
        <w:t>Times New Roman</w:t>
      </w:r>
      <w:r>
        <w:rPr>
          <w:rFonts w:hint="eastAsia" w:ascii="Times New Roman" w:hAnsi="Times New Roman" w:eastAsia="宋体" w:cs="Times New Roman"/>
          <w:b/>
          <w:bCs/>
          <w:color w:val="FF0000"/>
          <w:kern w:val="2"/>
          <w:sz w:val="18"/>
          <w:szCs w:val="18"/>
          <w:lang w:val="en-US" w:eastAsia="zh-CN" w:bidi="ar"/>
        </w:rPr>
        <w:t>, bold</w:t>
      </w:r>
      <w:r>
        <w:rPr>
          <w:rFonts w:hint="eastAsia" w:ascii="Times New Roman" w:hAnsi="Times New Roman" w:cs="Times New Roman"/>
          <w:b/>
          <w:bCs/>
          <w:color w:val="FF0000"/>
          <w:kern w:val="0"/>
          <w:sz w:val="18"/>
          <w:szCs w:val="18"/>
          <w:lang w:val="en-US" w:eastAsia="zh-CN"/>
          <w14:ligatures w14:val="none"/>
        </w:rPr>
        <w:t>)</w:t>
      </w:r>
      <w:r>
        <w:rPr>
          <w:rFonts w:hint="default" w:ascii="Times New Roman" w:hAnsi="Times New Roman" w:cs="Times New Roman"/>
          <w:kern w:val="0"/>
          <w:sz w:val="18"/>
          <w:szCs w:val="18"/>
          <w14:ligatures w14:val="none"/>
        </w:rPr>
        <w:t>　Laser-induced speckle field</w:t>
      </w:r>
      <w:r>
        <w:rPr>
          <w:rStyle w:val="43"/>
          <w:rFonts w:hint="default" w:ascii="Times New Roman" w:hAnsi="Times New Roman" w:cs="Times New Roman"/>
          <w:sz w:val="18"/>
          <w:szCs w:val="18"/>
          <w:vertAlign w:val="superscript"/>
        </w:rPr>
        <w:fldChar w:fldCharType="begin"/>
      </w:r>
      <w:r>
        <w:rPr>
          <w:rStyle w:val="43"/>
          <w:rFonts w:hint="default" w:ascii="Times New Roman" w:hAnsi="Times New Roman" w:cs="Times New Roman"/>
          <w:sz w:val="18"/>
          <w:szCs w:val="18"/>
          <w:vertAlign w:val="superscript"/>
        </w:rPr>
        <w:instrText xml:space="preserve"> REF _Ref190207394 \r \h  \* MERGEFORMAT </w:instrText>
      </w:r>
      <w:r>
        <w:rPr>
          <w:rStyle w:val="43"/>
          <w:rFonts w:hint="default" w:ascii="Times New Roman" w:hAnsi="Times New Roman" w:cs="Times New Roman"/>
          <w:sz w:val="18"/>
          <w:szCs w:val="18"/>
          <w:vertAlign w:val="superscript"/>
        </w:rPr>
        <w:fldChar w:fldCharType="separate"/>
      </w:r>
      <w:r>
        <w:rPr>
          <w:rStyle w:val="43"/>
          <w:rFonts w:hint="default" w:ascii="Times New Roman" w:hAnsi="Times New Roman" w:cs="Times New Roman"/>
          <w:sz w:val="18"/>
          <w:szCs w:val="18"/>
          <w:vertAlign w:val="superscript"/>
        </w:rPr>
        <w:t>[84]</w:t>
      </w:r>
      <w:r>
        <w:rPr>
          <w:rStyle w:val="43"/>
          <w:rFonts w:hint="default" w:ascii="Times New Roman" w:hAnsi="Times New Roman" w:cs="Times New Roman"/>
          <w:sz w:val="18"/>
          <w:szCs w:val="18"/>
          <w:vertAlign w:val="superscript"/>
        </w:rPr>
        <w:fldChar w:fldCharType="end"/>
      </w:r>
      <w:r>
        <w:rPr>
          <w:rFonts w:hint="eastAsia" w:ascii="Times New Roman" w:hAnsi="Times New Roman" w:cs="Times New Roman"/>
          <w:b w:val="0"/>
          <w:bCs w:val="0"/>
          <w:color w:val="FF0000"/>
          <w:kern w:val="0"/>
          <w:sz w:val="18"/>
          <w:szCs w:val="18"/>
          <w:lang w:val="en-US" w:eastAsia="zh-CN"/>
          <w14:ligatures w14:val="none"/>
        </w:rPr>
        <w:t xml:space="preserve">(9pt, </w:t>
      </w:r>
      <w:r>
        <w:rPr>
          <w:rFonts w:hint="default" w:ascii="Times New Roman" w:hAnsi="Times New Roman" w:eastAsia="宋体" w:cs="Times New Roman"/>
          <w:b w:val="0"/>
          <w:bCs w:val="0"/>
          <w:color w:val="FF0000"/>
          <w:kern w:val="2"/>
          <w:sz w:val="18"/>
          <w:szCs w:val="18"/>
          <w:lang w:val="en-US" w:eastAsia="zh-CN" w:bidi="ar"/>
        </w:rPr>
        <w:t>Times New Roman</w:t>
      </w:r>
      <w:r>
        <w:rPr>
          <w:rFonts w:hint="eastAsia" w:ascii="Times New Roman" w:hAnsi="Times New Roman" w:eastAsia="宋体" w:cs="Times New Roman"/>
          <w:b w:val="0"/>
          <w:bCs w:val="0"/>
          <w:color w:val="FF0000"/>
          <w:kern w:val="2"/>
          <w:sz w:val="18"/>
          <w:szCs w:val="18"/>
          <w:lang w:val="en-US" w:eastAsia="zh-CN" w:bidi="ar"/>
        </w:rPr>
        <w:t>,</w:t>
      </w:r>
      <w:r>
        <w:rPr>
          <w:rFonts w:hint="eastAsia" w:ascii="Times New Roman" w:hAnsi="Times New Roman" w:cs="Times New Roman"/>
          <w:b w:val="0"/>
          <w:bCs w:val="0"/>
          <w:color w:val="FF0000"/>
          <w:kern w:val="0"/>
          <w:sz w:val="18"/>
          <w:szCs w:val="18"/>
          <w:lang w:val="en-US" w:eastAsia="zh-CN"/>
          <w14:ligatures w14:val="none"/>
        </w:rPr>
        <w:t>)</w:t>
      </w:r>
    </w:p>
    <w:p w14:paraId="4066F248">
      <w:pPr>
        <w:keepLines w:val="0"/>
        <w:pageBreakBefore w:val="0"/>
        <w:kinsoku/>
        <w:wordWrap/>
        <w:overflowPunct/>
        <w:topLinePunct w:val="0"/>
        <w:autoSpaceDE/>
        <w:autoSpaceDN/>
        <w:bidi w:val="0"/>
        <w:spacing w:line="240" w:lineRule="auto"/>
        <w:textAlignment w:val="auto"/>
        <w:rPr>
          <w:rFonts w:hint="default" w:ascii="Times New Roman" w:hAnsi="Times New Roman" w:cs="Times New Roman"/>
          <w:sz w:val="21"/>
          <w:szCs w:val="21"/>
        </w:rPr>
      </w:pPr>
    </w:p>
    <w:p w14:paraId="5CC6EEFB">
      <w:pPr>
        <w:pStyle w:val="2"/>
        <w:keepNext/>
        <w:keepLines w:val="0"/>
        <w:pageBreakBefore w:val="0"/>
        <w:widowControl/>
        <w:kinsoku/>
        <w:wordWrap/>
        <w:overflowPunct/>
        <w:topLinePunct w:val="0"/>
        <w:autoSpaceDE/>
        <w:autoSpaceDN/>
        <w:bidi w:val="0"/>
        <w:adjustRightInd w:val="0"/>
        <w:snapToGrid w:val="0"/>
        <w:spacing w:before="157" w:beforeLines="50" w:after="157" w:afterLines="50" w:line="240" w:lineRule="auto"/>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Conclusions and recommendations</w:t>
      </w:r>
    </w:p>
    <w:p w14:paraId="4CF37F35">
      <w:pPr>
        <w:pStyle w:val="3"/>
        <w:keepLines w:val="0"/>
        <w:pageBreakBefore w:val="0"/>
        <w:kinsoku/>
        <w:wordWrap/>
        <w:overflowPunct/>
        <w:topLinePunct w:val="0"/>
        <w:autoSpaceDE/>
        <w:autoSpaceDN/>
        <w:bidi w:val="0"/>
        <w:spacing w:line="240" w:lineRule="auto"/>
        <w:textAlignment w:val="auto"/>
        <w:rPr>
          <w:rFonts w:hint="default" w:ascii="Times New Roman" w:hAnsi="Times New Roman" w:cs="Times New Roman"/>
          <w:sz w:val="21"/>
          <w:szCs w:val="21"/>
        </w:rPr>
      </w:pPr>
      <w:r>
        <w:rPr>
          <w:rFonts w:hint="default" w:ascii="Times New Roman" w:hAnsi="Times New Roman" w:cs="Times New Roman"/>
          <w:b/>
          <w:bCs/>
          <w:sz w:val="21"/>
          <w:szCs w:val="21"/>
        </w:rPr>
        <w:t>Conclusions</w:t>
      </w:r>
    </w:p>
    <w:p w14:paraId="42118291">
      <w:pPr>
        <w:keepLines w:val="0"/>
        <w:pageBreakBefore w:val="0"/>
        <w:kinsoku/>
        <w:wordWrap/>
        <w:overflowPunct/>
        <w:topLinePunct w:val="0"/>
        <w:autoSpaceDE/>
        <w:autoSpaceDN/>
        <w:bidi w:val="0"/>
        <w:adjustRightInd w:val="0"/>
        <w:snapToGrid w:val="0"/>
        <w:spacing w:line="240" w:lineRule="auto"/>
        <w:ind w:firstLine="480"/>
        <w:textAlignment w:val="auto"/>
        <w:rPr>
          <w:rFonts w:hint="default" w:ascii="Times New Roman" w:hAnsi="Times New Roman" w:cs="Times New Roman"/>
          <w:sz w:val="21"/>
          <w:szCs w:val="21"/>
        </w:rPr>
      </w:pPr>
      <w:r>
        <w:rPr>
          <w:rFonts w:hint="default" w:ascii="Times New Roman" w:hAnsi="Times New Roman" w:cs="Times New Roman"/>
          <w:sz w:val="21"/>
          <w:szCs w:val="21"/>
        </w:rPr>
        <w:t>This review provides a concise summary of transparent soil materials and the technical components involved in transparent soil physical model tests. Classic experimental cases using transparent soils to simulate different geomaterials are reviewed and analyzed, with particular focus placed on tunnel engineering. Particular attention is given to commonly used experimental equipment, transparent soil material preparation methods, and the results of representative tunnel model tests. In addition, several typical model design systems are introduced.</w:t>
      </w:r>
    </w:p>
    <w:p w14:paraId="0B025934">
      <w:pPr>
        <w:pStyle w:val="3"/>
        <w:keepLines w:val="0"/>
        <w:pageBreakBefore w:val="0"/>
        <w:kinsoku/>
        <w:wordWrap/>
        <w:overflowPunct/>
        <w:topLinePunct w:val="0"/>
        <w:autoSpaceDE/>
        <w:autoSpaceDN/>
        <w:bidi w:val="0"/>
        <w:spacing w:line="240" w:lineRule="auto"/>
        <w:textAlignment w:val="auto"/>
        <w:rPr>
          <w:rFonts w:hint="default" w:ascii="Times New Roman" w:hAnsi="Times New Roman" w:cs="Times New Roman"/>
          <w:sz w:val="21"/>
          <w:szCs w:val="21"/>
        </w:rPr>
      </w:pPr>
      <w:r>
        <w:rPr>
          <w:rFonts w:hint="default" w:ascii="Times New Roman" w:hAnsi="Times New Roman" w:cs="Times New Roman"/>
          <w:b/>
          <w:bCs/>
          <w:sz w:val="21"/>
          <w:szCs w:val="21"/>
        </w:rPr>
        <w:t>Recommendations</w:t>
      </w:r>
    </w:p>
    <w:p w14:paraId="7F0542F4">
      <w:pPr>
        <w:keepLines w:val="0"/>
        <w:pageBreakBefore w:val="0"/>
        <w:kinsoku/>
        <w:wordWrap/>
        <w:overflowPunct/>
        <w:topLinePunct w:val="0"/>
        <w:autoSpaceDE/>
        <w:autoSpaceDN/>
        <w:bidi w:val="0"/>
        <w:adjustRightInd w:val="0"/>
        <w:snapToGrid w:val="0"/>
        <w:spacing w:line="240" w:lineRule="auto"/>
        <w:ind w:firstLine="480"/>
        <w:textAlignment w:val="auto"/>
        <w:rPr>
          <w:rFonts w:hint="default" w:ascii="Times New Roman" w:hAnsi="Times New Roman" w:cs="Times New Roman"/>
          <w:sz w:val="21"/>
          <w:szCs w:val="21"/>
        </w:rPr>
      </w:pPr>
      <w:r>
        <w:rPr>
          <w:rFonts w:hint="eastAsia" w:ascii="Times New Roman" w:cs="Times New Roman"/>
          <w:sz w:val="21"/>
          <w:szCs w:val="21"/>
          <w:lang w:val="en-US" w:eastAsia="zh-CN"/>
        </w:rPr>
        <w:t>(</w:t>
      </w:r>
      <w:r>
        <w:rPr>
          <w:rFonts w:hint="default" w:ascii="Times New Roman" w:hAnsi="Times New Roman" w:cs="Times New Roman"/>
          <w:sz w:val="21"/>
          <w:szCs w:val="21"/>
        </w:rPr>
        <w:t>1) Development of new transparent soil materials with enhanced applicability. Advances in material development can extend the current limits of experimental research and improve the consistency between model tests and actual engineering conditions. However, the currently available transparent soil materials remain limited and are insufficient to represent complex engineering geological environments. Moreover, natural strata are inherently anisotropic and heterogeneous, whereas most existing studies rely on available similar materials and explore different working conditions or experimental environments. Although the development of new transparent soil materials is highly challenging, progress in this area could help address issues such as small model size and limited general applicability.</w:t>
      </w:r>
    </w:p>
    <w:p w14:paraId="12D1BFC9">
      <w:pPr>
        <w:keepLines w:val="0"/>
        <w:pageBreakBefore w:val="0"/>
        <w:kinsoku/>
        <w:wordWrap/>
        <w:overflowPunct/>
        <w:topLinePunct w:val="0"/>
        <w:autoSpaceDE/>
        <w:autoSpaceDN/>
        <w:bidi w:val="0"/>
        <w:adjustRightInd w:val="0"/>
        <w:snapToGrid w:val="0"/>
        <w:spacing w:line="240" w:lineRule="auto"/>
        <w:ind w:firstLine="480"/>
        <w:textAlignment w:val="auto"/>
        <w:rPr>
          <w:rFonts w:hint="default" w:ascii="Times New Roman" w:hAnsi="Times New Roman" w:cs="Times New Roman"/>
          <w:sz w:val="21"/>
          <w:szCs w:val="21"/>
        </w:rPr>
      </w:pPr>
      <w:r>
        <w:rPr>
          <w:rFonts w:hint="default" w:ascii="Times New Roman" w:hAnsi="Times New Roman" w:cs="Times New Roman"/>
          <w:sz w:val="21"/>
          <w:szCs w:val="21"/>
        </w:rPr>
        <w:t>The above discussion and recommendations reflect current issues and potential research directions related to the application and development of transparent soil techniques. Future transparent soil testing may place greater emphasis on material innovation, technical integration, cost control, and improved engineering applicability. This review is expected to encourage research on transparent soil model testing for tunnel engineering and support the gradual transition of this technique from laboratory studies to engineering practice.</w:t>
      </w:r>
    </w:p>
    <w:p w14:paraId="457A5F6C">
      <w:pPr>
        <w:pStyle w:val="2"/>
        <w:keepNext/>
        <w:keepLines w:val="0"/>
        <w:pageBreakBefore w:val="0"/>
        <w:widowControl/>
        <w:numPr>
          <w:ilvl w:val="0"/>
          <w:numId w:val="0"/>
        </w:numPr>
        <w:kinsoku/>
        <w:wordWrap/>
        <w:overflowPunct/>
        <w:topLinePunct w:val="0"/>
        <w:autoSpaceDE/>
        <w:autoSpaceDN/>
        <w:bidi w:val="0"/>
        <w:adjustRightInd w:val="0"/>
        <w:snapToGrid w:val="0"/>
        <w:spacing w:before="157" w:beforeLines="50" w:after="157" w:afterLines="50" w:line="240" w:lineRule="auto"/>
        <w:ind w:leftChars="0"/>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Acknowledgement</w:t>
      </w:r>
    </w:p>
    <w:p w14:paraId="09FDB6A5">
      <w:pPr>
        <w:pStyle w:val="2"/>
        <w:keepLines w:val="0"/>
        <w:pageBreakBefore w:val="0"/>
        <w:numPr>
          <w:ilvl w:val="0"/>
          <w:numId w:val="0"/>
        </w:numPr>
        <w:kinsoku/>
        <w:wordWrap/>
        <w:overflowPunct/>
        <w:topLinePunct w:val="0"/>
        <w:autoSpaceDE/>
        <w:autoSpaceDN/>
        <w:bidi w:val="0"/>
        <w:snapToGrid w:val="0"/>
        <w:spacing w:line="240" w:lineRule="auto"/>
        <w:ind w:leftChars="0"/>
        <w:textAlignment w:val="auto"/>
        <w:rPr>
          <w:rFonts w:hint="default" w:ascii="Times New Roman" w:hAnsi="Times New Roman" w:cs="Times New Roman"/>
          <w:b/>
          <w:bCs/>
          <w:sz w:val="24"/>
          <w:szCs w:val="24"/>
        </w:rPr>
      </w:pPr>
      <w:r>
        <w:rPr>
          <w:rFonts w:hint="eastAsia" w:eastAsia="方正书宋简体" w:cs="Times New Roman"/>
          <w:b/>
          <w:bCs/>
          <w:iCs/>
          <w:color w:val="FF0000"/>
          <w:kern w:val="2"/>
          <w:sz w:val="24"/>
          <w:szCs w:val="24"/>
          <w:lang w:val="en-US" w:eastAsia="zh-CN" w:bidi="ar"/>
        </w:rPr>
        <w:t xml:space="preserve">(If has, reference to Heading 1, 12pt, </w:t>
      </w:r>
      <w:r>
        <w:rPr>
          <w:rFonts w:hint="default" w:ascii="Times New Roman" w:hAnsi="Times New Roman" w:eastAsia="宋体" w:cs="Times New Roman"/>
          <w:b/>
          <w:bCs/>
          <w:color w:val="FF0000"/>
          <w:kern w:val="2"/>
          <w:sz w:val="24"/>
          <w:szCs w:val="24"/>
          <w:lang w:val="en-US" w:eastAsia="zh-CN" w:bidi="ar"/>
        </w:rPr>
        <w:t>Times New Roman，</w:t>
      </w:r>
      <w:r>
        <w:rPr>
          <w:rFonts w:hint="eastAsia" w:eastAsia="宋体" w:cs="Times New Roman"/>
          <w:b/>
          <w:bCs/>
          <w:color w:val="FF0000"/>
          <w:kern w:val="2"/>
          <w:sz w:val="24"/>
          <w:szCs w:val="24"/>
          <w:lang w:val="en-US" w:eastAsia="zh-CN" w:bidi="ar"/>
        </w:rPr>
        <w:t>bold</w:t>
      </w:r>
      <w:r>
        <w:rPr>
          <w:rFonts w:hint="eastAsia" w:eastAsia="方正书宋简体" w:cs="Times New Roman"/>
          <w:b/>
          <w:bCs/>
          <w:iCs/>
          <w:color w:val="FF0000"/>
          <w:kern w:val="2"/>
          <w:sz w:val="24"/>
          <w:szCs w:val="24"/>
          <w:lang w:val="en-US" w:eastAsia="zh-CN" w:bidi="ar"/>
        </w:rPr>
        <w:t>)</w:t>
      </w:r>
    </w:p>
    <w:p w14:paraId="2C0D02AE">
      <w:pPr>
        <w:pStyle w:val="12"/>
        <w:keepNext w:val="0"/>
        <w:keepLines w:val="0"/>
        <w:pageBreakBefore w:val="0"/>
        <w:widowControl w:val="0"/>
        <w:kinsoku/>
        <w:wordWrap/>
        <w:overflowPunct/>
        <w:topLinePunct w:val="0"/>
        <w:autoSpaceDE/>
        <w:autoSpaceDN/>
        <w:bidi w:val="0"/>
        <w:adjustRightInd w:val="0"/>
        <w:snapToGrid w:val="0"/>
        <w:spacing w:line="240" w:lineRule="auto"/>
        <w:ind w:firstLine="210" w:firstLineChars="100"/>
        <w:textAlignment w:val="auto"/>
        <w:rPr>
          <w:rFonts w:hint="default" w:ascii="Times New Roman" w:hAnsi="Times New Roman" w:eastAsia="方正书宋简体" w:cs="Times New Roman"/>
          <w:kern w:val="2"/>
          <w:sz w:val="21"/>
          <w:szCs w:val="21"/>
          <w:lang w:val="en-US" w:eastAsia="zh-CN" w:bidi="ar-SA"/>
          <w14:ligatures w14:val="standardContextual"/>
        </w:rPr>
      </w:pPr>
      <w:r>
        <w:rPr>
          <w:rFonts w:hint="default" w:ascii="Times New Roman" w:hAnsi="Times New Roman" w:eastAsia="方正书宋简体" w:cs="Times New Roman"/>
          <w:kern w:val="2"/>
          <w:sz w:val="21"/>
          <w:szCs w:val="21"/>
          <w:lang w:val="en-US" w:eastAsia="zh-CN" w:bidi="ar-SA"/>
          <w14:ligatures w14:val="standardContextual"/>
        </w:rPr>
        <w:t>This study was supported by the National Major Scientific Instruments Development Project of China (No. 5202780029).</w:t>
      </w:r>
    </w:p>
    <w:p w14:paraId="2D62EFF9">
      <w:pPr>
        <w:keepNext w:val="0"/>
        <w:keepLines w:val="0"/>
        <w:pageBreakBefore w:val="0"/>
        <w:widowControl w:val="0"/>
        <w:kinsoku/>
        <w:wordWrap/>
        <w:overflowPunct/>
        <w:topLinePunct w:val="0"/>
        <w:autoSpaceDE/>
        <w:autoSpaceDN/>
        <w:bidi w:val="0"/>
        <w:adjustRightInd/>
        <w:snapToGrid/>
        <w:spacing w:before="313" w:beforeLines="100" w:after="157" w:afterLines="50" w:line="240" w:lineRule="auto"/>
        <w:ind w:firstLine="0" w:firstLineChars="0"/>
        <w:textAlignment w:val="auto"/>
        <w:rPr>
          <w:rFonts w:hint="eastAsia" w:ascii="Times New Roman" w:hAnsi="Times New Roman" w:eastAsia="宋体" w:cs="Times New Roman"/>
          <w:color w:val="FF0000"/>
          <w:kern w:val="2"/>
          <w:sz w:val="18"/>
          <w:szCs w:val="18"/>
          <w:lang w:val="en-US" w:eastAsia="zh-CN" w:bidi="ar"/>
        </w:rPr>
      </w:pPr>
      <w:bookmarkStart w:id="6" w:name="_Hlk181037340"/>
      <w:r>
        <w:rPr>
          <w:rFonts w:hint="default" w:ascii="Times New Roman" w:hAnsi="Times New Roman" w:cs="Times New Roman"/>
          <w:b/>
          <w:bCs/>
          <w:sz w:val="18"/>
        </w:rPr>
        <w:t>References</w:t>
      </w:r>
      <w:r>
        <w:rPr>
          <w:rFonts w:hint="default" w:ascii="Times New Roman" w:hAnsi="Times New Roman" w:cs="Times New Roman"/>
          <w:sz w:val="18"/>
        </w:rPr>
        <w:t>:</w:t>
      </w:r>
      <w:r>
        <w:rPr>
          <w:rFonts w:hint="eastAsia" w:ascii="Times New Roman" w:cs="Times New Roman"/>
          <w:b/>
          <w:bCs/>
          <w:color w:val="FF0000"/>
          <w:kern w:val="0"/>
          <w:sz w:val="18"/>
          <w:szCs w:val="18"/>
          <w:lang w:eastAsia="zh-CN"/>
          <w14:ligatures w14:val="none"/>
        </w:rPr>
        <w:t>(</w:t>
      </w:r>
      <w:r>
        <w:rPr>
          <w:rFonts w:hint="eastAsia" w:ascii="Times New Roman" w:cs="Times New Roman"/>
          <w:b/>
          <w:bCs/>
          <w:iCs/>
          <w:color w:val="FF0000"/>
          <w:kern w:val="2"/>
          <w:sz w:val="18"/>
          <w:szCs w:val="18"/>
          <w:lang w:val="en-US" w:eastAsia="zh-CN" w:bidi="ar"/>
        </w:rPr>
        <w:t xml:space="preserve">9pt, </w:t>
      </w:r>
      <w:r>
        <w:rPr>
          <w:rFonts w:hint="default" w:ascii="Times New Roman" w:hAnsi="Times New Roman" w:eastAsia="宋体" w:cs="Times New Roman"/>
          <w:b/>
          <w:bCs/>
          <w:color w:val="FF0000"/>
          <w:kern w:val="2"/>
          <w:sz w:val="18"/>
          <w:szCs w:val="18"/>
          <w:lang w:val="en-US" w:eastAsia="zh-CN" w:bidi="ar"/>
        </w:rPr>
        <w:t>Times New Roman</w:t>
      </w:r>
      <w:r>
        <w:rPr>
          <w:rFonts w:hint="eastAsia" w:ascii="Times New Roman" w:eastAsia="宋体" w:cs="Times New Roman"/>
          <w:b/>
          <w:bCs/>
          <w:color w:val="FF0000"/>
          <w:kern w:val="2"/>
          <w:sz w:val="18"/>
          <w:szCs w:val="18"/>
          <w:lang w:val="en-US" w:eastAsia="zh-CN" w:bidi="ar"/>
        </w:rPr>
        <w:t>，bold)</w:t>
      </w:r>
    </w:p>
    <w:bookmarkEnd w:id="6"/>
    <w:p w14:paraId="0F742CC9">
      <w:pPr>
        <w:keepLines w:val="0"/>
        <w:pageBreakBefore w:val="0"/>
        <w:kinsoku/>
        <w:wordWrap/>
        <w:overflowPunct/>
        <w:topLinePunct w:val="0"/>
        <w:autoSpaceDE/>
        <w:autoSpaceDN/>
        <w:bidi w:val="0"/>
        <w:spacing w:line="240" w:lineRule="auto"/>
        <w:ind w:left="360" w:hanging="360" w:hangingChars="200"/>
        <w:textAlignment w:val="auto"/>
        <w:rPr>
          <w:rFonts w:hint="default" w:ascii="Times New Roman" w:hAnsi="Times New Roman" w:eastAsia="宋体" w:cs="Times New Roman"/>
          <w:color w:val="FF0000"/>
          <w:kern w:val="2"/>
          <w:sz w:val="18"/>
          <w:szCs w:val="18"/>
          <w:lang w:val="en-US" w:eastAsia="zh-CN" w:bidi="ar"/>
        </w:rPr>
      </w:pPr>
      <w:r>
        <w:rPr>
          <w:rFonts w:hint="eastAsia" w:ascii="Times New Roman"/>
          <w:sz w:val="18"/>
          <w:szCs w:val="18"/>
          <w:lang w:val="en-US" w:eastAsia="zh-CN"/>
        </w:rPr>
        <w:t xml:space="preserve">[1] </w:t>
      </w:r>
      <w:r>
        <w:rPr>
          <w:rFonts w:hint="default" w:ascii="Times New Roman"/>
          <w:sz w:val="18"/>
          <w:szCs w:val="18"/>
        </w:rPr>
        <w:t>Reporter for the journal of Tunnel Construction. China is already the country with the largest number of highway tunnels and the faste</w:t>
      </w:r>
      <w:bookmarkStart w:id="7" w:name="_GoBack"/>
      <w:bookmarkEnd w:id="7"/>
      <w:r>
        <w:rPr>
          <w:rFonts w:hint="default" w:ascii="Times New Roman"/>
          <w:sz w:val="18"/>
          <w:szCs w:val="18"/>
        </w:rPr>
        <w:t>st development in the world</w:t>
      </w:r>
      <w:r>
        <w:rPr>
          <w:rFonts w:hint="eastAsia" w:ascii="Times New Roman"/>
          <w:sz w:val="18"/>
          <w:szCs w:val="18"/>
          <w:lang w:val="en-US" w:eastAsia="zh-CN"/>
        </w:rPr>
        <w:t xml:space="preserve">: </w:t>
      </w:r>
      <w:r>
        <w:rPr>
          <w:rFonts w:hint="default" w:ascii="Times New Roman"/>
          <w:sz w:val="18"/>
          <w:szCs w:val="18"/>
        </w:rPr>
        <w:t>Jiang Shuping, Chairman of the Tunnel Engineering Branch of China Highway Society, Speech at the opening Ceremony of the 2013 National Highway Tunnel Academic Exchange Conference (excerpt) [J]. Tunnel Construction, 2013, 33 (10): 808.</w:t>
      </w:r>
      <w:r>
        <w:rPr>
          <w:rFonts w:hint="eastAsia" w:ascii="Times New Roman" w:eastAsia="宋体" w:cs="Times New Roman"/>
          <w:color w:val="FF0000"/>
          <w:kern w:val="2"/>
          <w:sz w:val="18"/>
          <w:szCs w:val="18"/>
          <w:lang w:val="en-US" w:eastAsia="zh-CN" w:bidi="ar"/>
        </w:rPr>
        <w:t xml:space="preserve">(9pt, </w:t>
      </w:r>
      <w:r>
        <w:rPr>
          <w:rFonts w:hint="default" w:ascii="Times New Roman" w:hAnsi="Times New Roman" w:eastAsia="宋体" w:cs="Times New Roman"/>
          <w:color w:val="FF0000"/>
          <w:kern w:val="2"/>
          <w:sz w:val="18"/>
          <w:szCs w:val="18"/>
          <w:lang w:val="en-US" w:eastAsia="zh-CN" w:bidi="ar"/>
        </w:rPr>
        <w:t>Times New Roman</w:t>
      </w:r>
      <w:r>
        <w:rPr>
          <w:rFonts w:hint="eastAsia" w:ascii="Times New Roman" w:eastAsia="宋体" w:cs="Times New Roman"/>
          <w:color w:val="FF0000"/>
          <w:kern w:val="2"/>
          <w:sz w:val="18"/>
          <w:szCs w:val="18"/>
          <w:lang w:val="en-US" w:eastAsia="zh-CN" w:bidi="ar"/>
        </w:rPr>
        <w:t>)</w:t>
      </w:r>
    </w:p>
    <w:p w14:paraId="53773475">
      <w:pPr>
        <w:keepLines w:val="0"/>
        <w:pageBreakBefore w:val="0"/>
        <w:kinsoku/>
        <w:wordWrap/>
        <w:overflowPunct/>
        <w:topLinePunct w:val="0"/>
        <w:autoSpaceDE/>
        <w:autoSpaceDN/>
        <w:bidi w:val="0"/>
        <w:adjustRightInd w:val="0"/>
        <w:snapToGrid w:val="0"/>
        <w:spacing w:line="240" w:lineRule="auto"/>
        <w:ind w:left="360" w:leftChars="0" w:hanging="360" w:hangingChars="200"/>
        <w:textAlignment w:val="auto"/>
        <w:rPr>
          <w:rFonts w:hint="default" w:ascii="Times New Roman"/>
          <w:sz w:val="18"/>
          <w:szCs w:val="18"/>
        </w:rPr>
      </w:pPr>
    </w:p>
    <w:p w14:paraId="3F548EF7">
      <w:pPr>
        <w:pStyle w:val="12"/>
        <w:keepLines w:val="0"/>
        <w:pageBreakBefore w:val="0"/>
        <w:kinsoku/>
        <w:wordWrap/>
        <w:overflowPunct/>
        <w:topLinePunct w:val="0"/>
        <w:autoSpaceDE/>
        <w:autoSpaceDN/>
        <w:bidi w:val="0"/>
        <w:adjustRightInd w:val="0"/>
        <w:spacing w:line="240" w:lineRule="auto"/>
        <w:ind w:firstLine="240" w:firstLineChars="100"/>
        <w:textAlignment w:val="auto"/>
        <w:rPr>
          <w:rFonts w:hint="default" w:ascii="Times New Roman" w:hAnsi="Times New Roman" w:eastAsia="方正书宋简体" w:cs="Times New Roman"/>
          <w:bCs/>
          <w:sz w:val="24"/>
          <w:szCs w:val="24"/>
        </w:rPr>
      </w:pPr>
    </w:p>
    <w:sectPr>
      <w:type w:val="continuous"/>
      <w:pgSz w:w="11906" w:h="16838"/>
      <w:pgMar w:top="1247" w:right="1106" w:bottom="1247" w:left="1106" w:header="851" w:footer="1247" w:gutter="0"/>
      <w:cols w:space="425" w:num="2"/>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20"/>
      </w:pPr>
      <w:r>
        <w:separator/>
      </w:r>
    </w:p>
  </w:endnote>
  <w:endnote w:type="continuationSeparator" w:id="1">
    <w:p>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书宋简体">
    <w:altName w:val="宋体"/>
    <w:panose1 w:val="03000509000000000000"/>
    <w:charset w:val="86"/>
    <w:family w:val="auto"/>
    <w:pitch w:val="default"/>
    <w:sig w:usb0="00000000" w:usb1="00000000" w:usb2="00000000" w:usb3="00000000" w:csb0="00040000" w:csb1="00000000"/>
  </w:font>
  <w:font w:name="方正黑体简体">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swiss"/>
    <w:pitch w:val="default"/>
    <w:sig w:usb0="E4002EFF" w:usb1="C000E47F" w:usb2="00000009" w:usb3="00000000" w:csb0="200001FF" w:csb1="00000000"/>
  </w:font>
  <w:font w:name="Arial Unicode MS">
    <w:altName w:val="Arial"/>
    <w:panose1 w:val="020B0604020202020204"/>
    <w:charset w:val="80"/>
    <w:family w:val="swiss"/>
    <w:pitch w:val="default"/>
    <w:sig w:usb0="00000000" w:usb1="00000000" w:usb2="0000003F" w:usb3="00000000" w:csb0="603F01FF" w:csb1="FFFF0000"/>
  </w:font>
  <w:font w:name="Cambria">
    <w:panose1 w:val="02040503050406030204"/>
    <w:charset w:val="00"/>
    <w:family w:val="roman"/>
    <w:pitch w:val="default"/>
    <w:sig w:usb0="E00006FF" w:usb1="420024FF" w:usb2="02000000" w:usb3="00000000" w:csb0="2000019F" w:csb1="00000000"/>
  </w:font>
  <w:font w:name="Cambria Math">
    <w:panose1 w:val="02040503050406030204"/>
    <w:charset w:val="00"/>
    <w:family w:val="roman"/>
    <w:pitch w:val="default"/>
    <w:sig w:usb0="E00006FF" w:usb1="420024FF" w:usb2="02000000" w:usb3="00000000" w:csb0="2000019F" w:csb1="00000000"/>
  </w:font>
  <w:font w:name="FangSong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楷体简体">
    <w:altName w:val="宋体"/>
    <w:panose1 w:val="03000509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S Gothic">
    <w:panose1 w:val="020B0609070205080204"/>
    <w:charset w:val="80"/>
    <w:family w:val="modern"/>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FD6C59">
    <w:pPr>
      <w:pStyle w:val="9"/>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72468C">
    <w:pPr>
      <w:pStyle w:val="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18D651">
    <w:pPr>
      <w:pStyle w:val="12"/>
      <w:spacing w:line="240" w:lineRule="exact"/>
      <w:rPr>
        <w:rFonts w:hint="default" w:ascii="Times New Roman" w:hAnsi="Times New Roman" w:eastAsia="方正书宋简体" w:cs="Times New Roman"/>
        <w:sz w:val="15"/>
        <w:szCs w:val="15"/>
        <w:lang w:eastAsia="zh-CN"/>
      </w:rPr>
    </w:pPr>
    <w:r>
      <w:rPr>
        <w:rFonts w:hint="default" w:ascii="Times New Roman" w:hAnsi="Times New Roman" w:eastAsia="方正书宋简体" w:cs="Times New Roman"/>
        <w:sz w:val="15"/>
        <w:szCs w:val="15"/>
        <w:vertAlign w:val="superscript"/>
      </w:rPr>
      <w:t xml:space="preserve"> </w:t>
    </w:r>
    <w:r>
      <w:rPr>
        <w:rFonts w:hint="default" w:ascii="Times New Roman" w:hAnsi="Times New Roman" w:eastAsia="方正书宋简体" w:cs="Times New Roman"/>
        <w:sz w:val="15"/>
        <w:szCs w:val="15"/>
        <w:vertAlign w:val="superscript"/>
        <w:lang w:val="en-US" w:eastAsia="zh-CN"/>
      </w:rPr>
      <w:t>*</w:t>
    </w:r>
    <w:r>
      <w:rPr>
        <w:rFonts w:hint="default" w:ascii="Times New Roman" w:hAnsi="Times New Roman" w:eastAsia="方正书宋简体" w:cs="Times New Roman"/>
        <w:sz w:val="15"/>
        <w:szCs w:val="15"/>
        <w:lang w:val="en-US" w:eastAsia="zh-CN"/>
      </w:rPr>
      <w:t xml:space="preserve">Corresponding </w:t>
    </w:r>
    <w:r>
      <w:rPr>
        <w:rFonts w:hint="default" w:ascii="Times New Roman" w:hAnsi="Times New Roman" w:eastAsia="方正书宋简体" w:cs="Times New Roman"/>
        <w:sz w:val="15"/>
        <w:szCs w:val="15"/>
      </w:rPr>
      <w:t xml:space="preserve">author. E-mail: </w:t>
    </w:r>
    <w:r>
      <w:rPr>
        <w:rFonts w:hint="default" w:ascii="Times New Roman" w:hAnsi="Times New Roman" w:eastAsia="方正书宋简体" w:cs="Times New Roman"/>
        <w:color w:val="auto"/>
        <w:sz w:val="15"/>
        <w:szCs w:val="15"/>
        <w:u w:val="none"/>
      </w:rPr>
      <w:fldChar w:fldCharType="begin"/>
    </w:r>
    <w:r>
      <w:rPr>
        <w:rFonts w:hint="default" w:ascii="Times New Roman" w:hAnsi="Times New Roman" w:eastAsia="方正书宋简体" w:cs="Times New Roman"/>
        <w:color w:val="auto"/>
        <w:sz w:val="15"/>
        <w:szCs w:val="15"/>
        <w:u w:val="none"/>
      </w:rPr>
      <w:instrText xml:space="preserve"> HYPERLINK "mailto:weixins@cqu.edu.cn(7.5pt," </w:instrText>
    </w:r>
    <w:r>
      <w:rPr>
        <w:rFonts w:hint="default" w:ascii="Times New Roman" w:hAnsi="Times New Roman" w:eastAsia="方正书宋简体" w:cs="Times New Roman"/>
        <w:color w:val="auto"/>
        <w:sz w:val="15"/>
        <w:szCs w:val="15"/>
        <w:u w:val="none"/>
      </w:rPr>
      <w:fldChar w:fldCharType="separate"/>
    </w:r>
    <w:r>
      <w:rPr>
        <w:rStyle w:val="20"/>
        <w:rFonts w:hint="default" w:ascii="Times New Roman" w:hAnsi="Times New Roman" w:eastAsia="方正书宋简体" w:cs="Times New Roman"/>
        <w:color w:val="auto"/>
        <w:sz w:val="15"/>
        <w:szCs w:val="15"/>
        <w:u w:val="none"/>
      </w:rPr>
      <w:t>weixins@cqu.edu.cn</w:t>
    </w:r>
    <w:r>
      <w:rPr>
        <w:rStyle w:val="20"/>
        <w:rFonts w:hint="eastAsia" w:eastAsia="方正书宋简体" w:cs="Times New Roman"/>
        <w:color w:val="FF0000"/>
        <w:sz w:val="15"/>
        <w:szCs w:val="15"/>
        <w:u w:val="none"/>
        <w:lang w:val="en-US" w:eastAsia="zh-CN"/>
      </w:rPr>
      <w:t xml:space="preserve"> </w:t>
    </w:r>
    <w:r>
      <w:rPr>
        <w:rStyle w:val="20"/>
        <w:rFonts w:hint="eastAsia" w:eastAsia="方正书宋简体" w:cs="Times New Roman"/>
        <w:color w:val="FF0000"/>
        <w:sz w:val="15"/>
        <w:szCs w:val="15"/>
        <w:u w:val="none"/>
        <w:lang w:eastAsia="zh-CN"/>
      </w:rPr>
      <w:t>(</w:t>
    </w:r>
    <w:r>
      <w:rPr>
        <w:rStyle w:val="20"/>
        <w:rFonts w:hint="eastAsia" w:eastAsia="方正书宋简体" w:cs="Times New Roman"/>
        <w:color w:val="FF0000"/>
        <w:sz w:val="15"/>
        <w:szCs w:val="15"/>
        <w:u w:val="none"/>
        <w:lang w:val="en-US" w:eastAsia="zh-CN"/>
      </w:rPr>
      <w:t>7.5pt,</w:t>
    </w:r>
    <w:r>
      <w:rPr>
        <w:rFonts w:hint="default" w:ascii="Times New Roman" w:hAnsi="Times New Roman" w:eastAsia="方正书宋简体" w:cs="Times New Roman"/>
        <w:color w:val="auto"/>
        <w:sz w:val="15"/>
        <w:szCs w:val="15"/>
        <w:u w:val="none"/>
      </w:rPr>
      <w:fldChar w:fldCharType="end"/>
    </w:r>
    <w:r>
      <w:rPr>
        <w:rFonts w:hint="eastAsia" w:eastAsia="方正书宋简体" w:cs="Times New Roman"/>
        <w:sz w:val="15"/>
        <w:szCs w:val="15"/>
        <w:lang w:val="en-US" w:eastAsia="zh-CN"/>
      </w:rPr>
      <w:t xml:space="preserve"> </w:t>
    </w:r>
    <w:r>
      <w:rPr>
        <w:rFonts w:hint="default" w:ascii="Times New Roman" w:hAnsi="Times New Roman" w:eastAsia="宋体" w:cs="Times New Roman"/>
        <w:color w:val="FF0000"/>
        <w:kern w:val="2"/>
        <w:sz w:val="15"/>
        <w:szCs w:val="15"/>
        <w:lang w:val="en-US" w:eastAsia="zh-CN" w:bidi="ar"/>
        <w14:ligatures w14:val="standardContextual"/>
      </w:rPr>
      <w:t>Times New Roman</w:t>
    </w:r>
    <w:r>
      <w:rPr>
        <w:rFonts w:hint="eastAsia" w:eastAsia="方正书宋简体" w:cs="Times New Roman"/>
        <w:sz w:val="15"/>
        <w:szCs w:val="15"/>
        <w:lang w:eastAsia="zh-CN"/>
      </w:rPr>
      <w:t>)</w:t>
    </w:r>
  </w:p>
  <w:p w14:paraId="5B4FC6A1">
    <w:pPr>
      <w:pStyle w:val="12"/>
      <w:spacing w:line="240" w:lineRule="exact"/>
      <w:rPr>
        <w:rFonts w:ascii="方正书宋简体" w:hAnsi="方正书宋简体"/>
        <w:sz w:val="16"/>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EF962C">
    <w:pPr>
      <w:pStyle w:val="9"/>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20"/>
      </w:pPr>
      <w:r>
        <w:separator/>
      </w:r>
    </w:p>
  </w:footnote>
  <w:footnote w:type="continuationSeparator" w:id="1">
    <w:p>
      <w:pPr>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D860F2">
    <w:pPr>
      <w:pStyle w:val="10"/>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933B6E">
    <w:pPr>
      <w:pStyle w:val="1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0E83F3">
    <w:pPr>
      <w:pStyle w:val="10"/>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456D48"/>
    <w:multiLevelType w:val="singleLevel"/>
    <w:tmpl w:val="2C456D48"/>
    <w:lvl w:ilvl="0" w:tentative="0">
      <w:start w:val="1"/>
      <w:numFmt w:val="decimal"/>
      <w:suff w:val="space"/>
      <w:lvlText w:val="(%1."/>
      <w:lvlJc w:val="left"/>
      <w:rPr>
        <w:color w:val="000000"/>
      </w:rPr>
    </w:lvl>
  </w:abstractNum>
  <w:abstractNum w:abstractNumId="1">
    <w:nsid w:val="46A55BB5"/>
    <w:multiLevelType w:val="multilevel"/>
    <w:tmpl w:val="46A55BB5"/>
    <w:lvl w:ilvl="0" w:tentative="0">
      <w:start w:val="1"/>
      <w:numFmt w:val="decimal"/>
      <w:lvlText w:val="%1."/>
      <w:lvlJc w:val="left"/>
      <w:pPr>
        <w:tabs>
          <w:tab w:val="left" w:pos="720"/>
        </w:tabs>
        <w:ind w:left="720" w:hanging="720"/>
      </w:pPr>
    </w:lvl>
    <w:lvl w:ilvl="1" w:tentative="0">
      <w:start w:val="1"/>
      <w:numFmt w:val="decimal"/>
      <w:pStyle w:val="31"/>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2">
    <w:nsid w:val="4F274A52"/>
    <w:multiLevelType w:val="multilevel"/>
    <w:tmpl w:val="4F274A52"/>
    <w:lvl w:ilvl="0" w:tentative="0">
      <w:start w:val="0"/>
      <w:numFmt w:val="decimal"/>
      <w:pStyle w:val="2"/>
      <w:suff w:val="nothing"/>
      <w:lvlText w:val="%1　"/>
      <w:lvlJc w:val="left"/>
      <w:pPr>
        <w:ind w:left="0" w:firstLine="0"/>
      </w:pPr>
      <w:rPr>
        <w:rFonts w:hint="default" w:ascii="Times New Roman" w:hAnsi="Times New Roman" w:eastAsia="方正黑体简体" w:cs="Times New Roman"/>
        <w:b/>
        <w:sz w:val="24"/>
      </w:rPr>
    </w:lvl>
    <w:lvl w:ilvl="1" w:tentative="0">
      <w:start w:val="1"/>
      <w:numFmt w:val="decimal"/>
      <w:pStyle w:val="3"/>
      <w:suff w:val="nothing"/>
      <w:lvlText w:val="%1.%2　"/>
      <w:lvlJc w:val="left"/>
      <w:pPr>
        <w:ind w:left="0" w:firstLine="0"/>
      </w:pPr>
      <w:rPr>
        <w:rFonts w:hint="default" w:ascii="Times New Roman" w:hAnsi="Times New Roman" w:eastAsia="方正黑体简体" w:cs="Times New Roman"/>
        <w:b/>
        <w:bCs/>
        <w:sz w:val="24"/>
        <w:szCs w:val="24"/>
      </w:rPr>
    </w:lvl>
    <w:lvl w:ilvl="2" w:tentative="0">
      <w:start w:val="1"/>
      <w:numFmt w:val="decimal"/>
      <w:pStyle w:val="4"/>
      <w:suff w:val="nothing"/>
      <w:lvlText w:val="%1.%2.%3  "/>
      <w:lvlJc w:val="left"/>
      <w:pPr>
        <w:ind w:left="720" w:firstLine="0"/>
      </w:pPr>
      <w:rPr>
        <w:rFonts w:hint="default" w:ascii="Times New Roman" w:hAnsi="Times New Roman" w:eastAsia="方正黑体简体" w:cs="Times New Roman"/>
        <w:b w:val="0"/>
        <w:bCs w:val="0"/>
        <w:sz w:val="24"/>
        <w:szCs w:val="24"/>
      </w:rPr>
    </w:lvl>
    <w:lvl w:ilvl="3" w:tentative="0">
      <w:start w:val="1"/>
      <w:numFmt w:val="decimal"/>
      <w:lvlText w:val="%1.%2.%3.%4"/>
      <w:lvlJc w:val="left"/>
      <w:pPr>
        <w:ind w:left="1701" w:firstLine="0"/>
      </w:pPr>
      <w:rPr>
        <w:rFonts w:hint="eastAsia"/>
      </w:rPr>
    </w:lvl>
    <w:lvl w:ilvl="4" w:tentative="0">
      <w:start w:val="1"/>
      <w:numFmt w:val="decimal"/>
      <w:lvlText w:val="%1.%2.%3.%4.%5"/>
      <w:lvlJc w:val="left"/>
      <w:pPr>
        <w:ind w:left="2268" w:firstLine="0"/>
      </w:pPr>
      <w:rPr>
        <w:rFonts w:hint="eastAsia"/>
      </w:rPr>
    </w:lvl>
    <w:lvl w:ilvl="5" w:tentative="0">
      <w:start w:val="1"/>
      <w:numFmt w:val="decimal"/>
      <w:lvlText w:val="%1.%2.%3.%4.%5.%6"/>
      <w:lvlJc w:val="left"/>
      <w:pPr>
        <w:ind w:left="2835" w:firstLine="0"/>
      </w:pPr>
      <w:rPr>
        <w:rFonts w:hint="eastAsia"/>
      </w:rPr>
    </w:lvl>
    <w:lvl w:ilvl="6" w:tentative="0">
      <w:start w:val="1"/>
      <w:numFmt w:val="decimal"/>
      <w:lvlText w:val="%1.%2.%3.%4.%5.%6.%7"/>
      <w:lvlJc w:val="left"/>
      <w:pPr>
        <w:ind w:left="3402" w:firstLine="0"/>
      </w:pPr>
      <w:rPr>
        <w:rFonts w:hint="eastAsia"/>
      </w:rPr>
    </w:lvl>
    <w:lvl w:ilvl="7" w:tentative="0">
      <w:start w:val="1"/>
      <w:numFmt w:val="decimal"/>
      <w:lvlText w:val="%1.%2.%3.%4.%5.%6.%7.%8"/>
      <w:lvlJc w:val="left"/>
      <w:pPr>
        <w:ind w:left="3969" w:firstLine="0"/>
      </w:pPr>
      <w:rPr>
        <w:rFonts w:hint="eastAsia"/>
      </w:rPr>
    </w:lvl>
    <w:lvl w:ilvl="8" w:tentative="0">
      <w:start w:val="1"/>
      <w:numFmt w:val="decimal"/>
      <w:lvlText w:val="%1.%2.%3.%4.%5.%6.%7.%8.%9"/>
      <w:lvlJc w:val="left"/>
      <w:pPr>
        <w:ind w:left="4536" w:firstLine="0"/>
      </w:pPr>
      <w:rPr>
        <w:rFonts w:hint="eastAsia"/>
      </w:rPr>
    </w:lvl>
  </w:abstractNum>
  <w:abstractNum w:abstractNumId="3">
    <w:nsid w:val="61DD32E2"/>
    <w:multiLevelType w:val="multilevel"/>
    <w:tmpl w:val="61DD32E2"/>
    <w:lvl w:ilvl="0" w:tentative="0">
      <w:start w:val="1"/>
      <w:numFmt w:val="decimal"/>
      <w:pStyle w:val="29"/>
      <w:lvlText w:val="%1."/>
      <w:lvlJc w:val="left"/>
      <w:pPr>
        <w:ind w:left="0" w:firstLine="0"/>
      </w:pPr>
      <w:rPr>
        <w:rFonts w:hint="eastAsia"/>
      </w:rPr>
    </w:lvl>
    <w:lvl w:ilvl="1" w:tentative="0">
      <w:start w:val="1"/>
      <w:numFmt w:val="decimal"/>
      <w:lvlText w:val="%1.%2"/>
      <w:lvlJc w:val="left"/>
      <w:pPr>
        <w:ind w:left="567" w:firstLine="0"/>
      </w:pPr>
      <w:rPr>
        <w:rFonts w:hint="default" w:ascii="Cambria" w:hAnsi="Cambria"/>
        <w:b w:val="0"/>
        <w:bCs/>
      </w:rPr>
    </w:lvl>
    <w:lvl w:ilvl="2" w:tentative="0">
      <w:start w:val="1"/>
      <w:numFmt w:val="decimal"/>
      <w:pStyle w:val="32"/>
      <w:lvlText w:val="%1.%2.%3"/>
      <w:lvlJc w:val="left"/>
      <w:pPr>
        <w:ind w:left="1134" w:firstLine="0"/>
      </w:pPr>
      <w:rPr>
        <w:rFonts w:hint="default" w:ascii="Cambria Math" w:hAnsi="Cambria Math"/>
        <w:b w:val="0"/>
        <w:bCs w:val="0"/>
        <w:sz w:val="28"/>
        <w:szCs w:val="28"/>
      </w:rPr>
    </w:lvl>
    <w:lvl w:ilvl="3" w:tentative="0">
      <w:start w:val="1"/>
      <w:numFmt w:val="decimal"/>
      <w:lvlText w:val="%1.%2.%3.%4"/>
      <w:lvlJc w:val="left"/>
      <w:pPr>
        <w:ind w:left="1701" w:firstLine="0"/>
      </w:pPr>
      <w:rPr>
        <w:rFonts w:hint="eastAsia"/>
      </w:rPr>
    </w:lvl>
    <w:lvl w:ilvl="4" w:tentative="0">
      <w:start w:val="1"/>
      <w:numFmt w:val="decimal"/>
      <w:lvlText w:val="%1.%2.%3.%4.%5"/>
      <w:lvlJc w:val="left"/>
      <w:pPr>
        <w:ind w:left="2268" w:firstLine="0"/>
      </w:pPr>
      <w:rPr>
        <w:rFonts w:hint="eastAsia"/>
      </w:rPr>
    </w:lvl>
    <w:lvl w:ilvl="5" w:tentative="0">
      <w:start w:val="1"/>
      <w:numFmt w:val="decimal"/>
      <w:lvlText w:val="%1.%2.%3.%4.%5.%6"/>
      <w:lvlJc w:val="left"/>
      <w:pPr>
        <w:ind w:left="2835" w:firstLine="0"/>
      </w:pPr>
      <w:rPr>
        <w:rFonts w:hint="eastAsia"/>
      </w:rPr>
    </w:lvl>
    <w:lvl w:ilvl="6" w:tentative="0">
      <w:start w:val="1"/>
      <w:numFmt w:val="decimal"/>
      <w:lvlText w:val="%1.%2.%3.%4.%5.%6.%7"/>
      <w:lvlJc w:val="left"/>
      <w:pPr>
        <w:ind w:left="3402" w:firstLine="0"/>
      </w:pPr>
      <w:rPr>
        <w:rFonts w:hint="eastAsia"/>
      </w:rPr>
    </w:lvl>
    <w:lvl w:ilvl="7" w:tentative="0">
      <w:start w:val="1"/>
      <w:numFmt w:val="decimal"/>
      <w:lvlText w:val="%1.%2.%3.%4.%5.%6.%7.%8"/>
      <w:lvlJc w:val="left"/>
      <w:pPr>
        <w:ind w:left="3969" w:firstLine="0"/>
      </w:pPr>
      <w:rPr>
        <w:rFonts w:hint="eastAsia"/>
      </w:rPr>
    </w:lvl>
    <w:lvl w:ilvl="8" w:tentative="0">
      <w:start w:val="1"/>
      <w:numFmt w:val="decimal"/>
      <w:lvlText w:val="%1.%2.%3.%4.%5.%6.%7.%8.%9"/>
      <w:lvlJc w:val="left"/>
      <w:pPr>
        <w:ind w:left="4536" w:firstLine="0"/>
      </w:pPr>
      <w:rPr>
        <w:rFonts w:hint="eastAsia"/>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20"/>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doNotCompress"/>
  <w:footnotePr>
    <w:footnote w:id="0"/>
    <w:footnote w:id="1"/>
  </w:footnotePr>
  <w:endnotePr>
    <w:endnote w:id="0"/>
    <w:endnote w:id="1"/>
  </w:endnotePr>
  <w:compat>
    <w:balanceSingleByteDoubleByteWidth/>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zEytzCytDQ1N7YwMjZU0lEKTi0uzszPAykwNa4FAAoOtfItAAAA"/>
    <w:docVar w:name="TrinkaDocId" w:val="3df6be1a-d755-4ad0-917d-442d34cde0c3"/>
    <w:docVar w:name="UniqueDocId" w:val="3df6be1a-d755-4ad0-917d-442d34cde0c3"/>
  </w:docVars>
  <w:rsids>
    <w:rsidRoot w:val="00172A27"/>
    <w:rsid w:val="0000038C"/>
    <w:rsid w:val="00000ACC"/>
    <w:rsid w:val="00001496"/>
    <w:rsid w:val="000022EE"/>
    <w:rsid w:val="00005AB0"/>
    <w:rsid w:val="0000613C"/>
    <w:rsid w:val="00010555"/>
    <w:rsid w:val="0001184C"/>
    <w:rsid w:val="000155BD"/>
    <w:rsid w:val="00015D50"/>
    <w:rsid w:val="00016C1C"/>
    <w:rsid w:val="000170D2"/>
    <w:rsid w:val="00017DF0"/>
    <w:rsid w:val="00021655"/>
    <w:rsid w:val="000240DC"/>
    <w:rsid w:val="000248BC"/>
    <w:rsid w:val="00025216"/>
    <w:rsid w:val="00027104"/>
    <w:rsid w:val="00030EF8"/>
    <w:rsid w:val="0003561F"/>
    <w:rsid w:val="00036F5D"/>
    <w:rsid w:val="00043742"/>
    <w:rsid w:val="00043C07"/>
    <w:rsid w:val="000507F9"/>
    <w:rsid w:val="00052161"/>
    <w:rsid w:val="000522D0"/>
    <w:rsid w:val="00054E04"/>
    <w:rsid w:val="000606BE"/>
    <w:rsid w:val="00060D10"/>
    <w:rsid w:val="00066960"/>
    <w:rsid w:val="0007034B"/>
    <w:rsid w:val="000703FB"/>
    <w:rsid w:val="00071B91"/>
    <w:rsid w:val="00071F06"/>
    <w:rsid w:val="00071F58"/>
    <w:rsid w:val="00073086"/>
    <w:rsid w:val="00075735"/>
    <w:rsid w:val="000761E6"/>
    <w:rsid w:val="0007706C"/>
    <w:rsid w:val="00077757"/>
    <w:rsid w:val="00077CFC"/>
    <w:rsid w:val="00080F97"/>
    <w:rsid w:val="00081F3C"/>
    <w:rsid w:val="00082862"/>
    <w:rsid w:val="000839C1"/>
    <w:rsid w:val="000914E1"/>
    <w:rsid w:val="00092BC5"/>
    <w:rsid w:val="000963A3"/>
    <w:rsid w:val="000A00B4"/>
    <w:rsid w:val="000A0454"/>
    <w:rsid w:val="000A0BDA"/>
    <w:rsid w:val="000A346F"/>
    <w:rsid w:val="000A4D2C"/>
    <w:rsid w:val="000A5F29"/>
    <w:rsid w:val="000A6093"/>
    <w:rsid w:val="000A782F"/>
    <w:rsid w:val="000A7F8C"/>
    <w:rsid w:val="000B14A8"/>
    <w:rsid w:val="000B23A6"/>
    <w:rsid w:val="000B265B"/>
    <w:rsid w:val="000B580B"/>
    <w:rsid w:val="000B58BA"/>
    <w:rsid w:val="000B6299"/>
    <w:rsid w:val="000C0BA9"/>
    <w:rsid w:val="000C25D3"/>
    <w:rsid w:val="000C46B4"/>
    <w:rsid w:val="000C4DA6"/>
    <w:rsid w:val="000D14D6"/>
    <w:rsid w:val="000D1600"/>
    <w:rsid w:val="000D27A0"/>
    <w:rsid w:val="000D38C6"/>
    <w:rsid w:val="000D38D1"/>
    <w:rsid w:val="000D559C"/>
    <w:rsid w:val="000D6EBC"/>
    <w:rsid w:val="000D7BC6"/>
    <w:rsid w:val="000E3710"/>
    <w:rsid w:val="000E404D"/>
    <w:rsid w:val="000E4890"/>
    <w:rsid w:val="000E5242"/>
    <w:rsid w:val="000E6910"/>
    <w:rsid w:val="000F0FB1"/>
    <w:rsid w:val="000F14C0"/>
    <w:rsid w:val="000F2D5E"/>
    <w:rsid w:val="000F53C2"/>
    <w:rsid w:val="000F6264"/>
    <w:rsid w:val="000F74AE"/>
    <w:rsid w:val="00103008"/>
    <w:rsid w:val="00104A1A"/>
    <w:rsid w:val="00104B1C"/>
    <w:rsid w:val="0010510D"/>
    <w:rsid w:val="00105393"/>
    <w:rsid w:val="00106AEF"/>
    <w:rsid w:val="00106C1E"/>
    <w:rsid w:val="00110369"/>
    <w:rsid w:val="0011093C"/>
    <w:rsid w:val="00111528"/>
    <w:rsid w:val="0011261B"/>
    <w:rsid w:val="0011386E"/>
    <w:rsid w:val="001139C7"/>
    <w:rsid w:val="00114C73"/>
    <w:rsid w:val="0011561D"/>
    <w:rsid w:val="001159B2"/>
    <w:rsid w:val="00115B72"/>
    <w:rsid w:val="00116E51"/>
    <w:rsid w:val="00116E72"/>
    <w:rsid w:val="001212DE"/>
    <w:rsid w:val="00122F96"/>
    <w:rsid w:val="00124518"/>
    <w:rsid w:val="0012573B"/>
    <w:rsid w:val="0012612B"/>
    <w:rsid w:val="001263E1"/>
    <w:rsid w:val="001266C3"/>
    <w:rsid w:val="0012758E"/>
    <w:rsid w:val="00130C7F"/>
    <w:rsid w:val="001315EE"/>
    <w:rsid w:val="00131F65"/>
    <w:rsid w:val="001321A9"/>
    <w:rsid w:val="00132701"/>
    <w:rsid w:val="001353AE"/>
    <w:rsid w:val="00135641"/>
    <w:rsid w:val="00135DFD"/>
    <w:rsid w:val="001362A5"/>
    <w:rsid w:val="001366D3"/>
    <w:rsid w:val="0014413B"/>
    <w:rsid w:val="0014471C"/>
    <w:rsid w:val="001454C0"/>
    <w:rsid w:val="00145B3F"/>
    <w:rsid w:val="00146039"/>
    <w:rsid w:val="001477D1"/>
    <w:rsid w:val="00150BBE"/>
    <w:rsid w:val="001512F8"/>
    <w:rsid w:val="00151608"/>
    <w:rsid w:val="00151F85"/>
    <w:rsid w:val="00153E20"/>
    <w:rsid w:val="001555DD"/>
    <w:rsid w:val="00162173"/>
    <w:rsid w:val="00162991"/>
    <w:rsid w:val="00163EA7"/>
    <w:rsid w:val="00167BAB"/>
    <w:rsid w:val="00170D71"/>
    <w:rsid w:val="00171A7A"/>
    <w:rsid w:val="00171D24"/>
    <w:rsid w:val="001733A7"/>
    <w:rsid w:val="00174C3D"/>
    <w:rsid w:val="00175775"/>
    <w:rsid w:val="00182F31"/>
    <w:rsid w:val="00184EAE"/>
    <w:rsid w:val="00185AC7"/>
    <w:rsid w:val="00186192"/>
    <w:rsid w:val="00186530"/>
    <w:rsid w:val="00186CEE"/>
    <w:rsid w:val="001932CC"/>
    <w:rsid w:val="00194C55"/>
    <w:rsid w:val="00196F46"/>
    <w:rsid w:val="001A05D6"/>
    <w:rsid w:val="001A1645"/>
    <w:rsid w:val="001A1BEA"/>
    <w:rsid w:val="001A2404"/>
    <w:rsid w:val="001A2AFA"/>
    <w:rsid w:val="001A3036"/>
    <w:rsid w:val="001A52BA"/>
    <w:rsid w:val="001A668C"/>
    <w:rsid w:val="001A67BF"/>
    <w:rsid w:val="001B0877"/>
    <w:rsid w:val="001B1DAA"/>
    <w:rsid w:val="001B464D"/>
    <w:rsid w:val="001B5136"/>
    <w:rsid w:val="001B5699"/>
    <w:rsid w:val="001B78CE"/>
    <w:rsid w:val="001C1B80"/>
    <w:rsid w:val="001C1CC8"/>
    <w:rsid w:val="001C2063"/>
    <w:rsid w:val="001C4307"/>
    <w:rsid w:val="001C4843"/>
    <w:rsid w:val="001C5C55"/>
    <w:rsid w:val="001C6547"/>
    <w:rsid w:val="001C6AF8"/>
    <w:rsid w:val="001C7F51"/>
    <w:rsid w:val="001C7FE5"/>
    <w:rsid w:val="001D184D"/>
    <w:rsid w:val="001D54BE"/>
    <w:rsid w:val="001D55ED"/>
    <w:rsid w:val="001D5634"/>
    <w:rsid w:val="001D5DE2"/>
    <w:rsid w:val="001D69EA"/>
    <w:rsid w:val="001D7F03"/>
    <w:rsid w:val="001E02B4"/>
    <w:rsid w:val="001E3BC3"/>
    <w:rsid w:val="001E5DCE"/>
    <w:rsid w:val="001E6E17"/>
    <w:rsid w:val="001F0817"/>
    <w:rsid w:val="001F18EB"/>
    <w:rsid w:val="001F2207"/>
    <w:rsid w:val="001F3536"/>
    <w:rsid w:val="001F5180"/>
    <w:rsid w:val="001F6039"/>
    <w:rsid w:val="001F62ED"/>
    <w:rsid w:val="001F639A"/>
    <w:rsid w:val="00200BC0"/>
    <w:rsid w:val="00200FA9"/>
    <w:rsid w:val="00203721"/>
    <w:rsid w:val="00204FDB"/>
    <w:rsid w:val="002060C1"/>
    <w:rsid w:val="00207B64"/>
    <w:rsid w:val="002103DD"/>
    <w:rsid w:val="002119EA"/>
    <w:rsid w:val="002134B4"/>
    <w:rsid w:val="00213702"/>
    <w:rsid w:val="00216A32"/>
    <w:rsid w:val="00216FDB"/>
    <w:rsid w:val="002172FF"/>
    <w:rsid w:val="0022090B"/>
    <w:rsid w:val="00221F53"/>
    <w:rsid w:val="00224BF5"/>
    <w:rsid w:val="0022635A"/>
    <w:rsid w:val="00226EDB"/>
    <w:rsid w:val="00230C07"/>
    <w:rsid w:val="002348DB"/>
    <w:rsid w:val="00236742"/>
    <w:rsid w:val="00236A84"/>
    <w:rsid w:val="002407A0"/>
    <w:rsid w:val="00240861"/>
    <w:rsid w:val="00240C38"/>
    <w:rsid w:val="002420F3"/>
    <w:rsid w:val="0024358F"/>
    <w:rsid w:val="002438CE"/>
    <w:rsid w:val="00244E48"/>
    <w:rsid w:val="00245C7D"/>
    <w:rsid w:val="00250287"/>
    <w:rsid w:val="00260D9A"/>
    <w:rsid w:val="002630DF"/>
    <w:rsid w:val="00263C51"/>
    <w:rsid w:val="00266B00"/>
    <w:rsid w:val="00267CBD"/>
    <w:rsid w:val="00270ACC"/>
    <w:rsid w:val="00272878"/>
    <w:rsid w:val="002800A8"/>
    <w:rsid w:val="00280F14"/>
    <w:rsid w:val="0028375C"/>
    <w:rsid w:val="002843B0"/>
    <w:rsid w:val="0028551E"/>
    <w:rsid w:val="0028746A"/>
    <w:rsid w:val="00287EB7"/>
    <w:rsid w:val="00287EC8"/>
    <w:rsid w:val="00290353"/>
    <w:rsid w:val="00290D1E"/>
    <w:rsid w:val="00291D5F"/>
    <w:rsid w:val="00293ADE"/>
    <w:rsid w:val="00295AC2"/>
    <w:rsid w:val="002A0961"/>
    <w:rsid w:val="002A213A"/>
    <w:rsid w:val="002A416A"/>
    <w:rsid w:val="002A6404"/>
    <w:rsid w:val="002A6BF4"/>
    <w:rsid w:val="002B06CB"/>
    <w:rsid w:val="002B18D2"/>
    <w:rsid w:val="002B19B6"/>
    <w:rsid w:val="002C0036"/>
    <w:rsid w:val="002C03D0"/>
    <w:rsid w:val="002C1868"/>
    <w:rsid w:val="002C59FF"/>
    <w:rsid w:val="002C64A8"/>
    <w:rsid w:val="002C74FA"/>
    <w:rsid w:val="002C7EF2"/>
    <w:rsid w:val="002D3554"/>
    <w:rsid w:val="002D3828"/>
    <w:rsid w:val="002D4A04"/>
    <w:rsid w:val="002D4D61"/>
    <w:rsid w:val="002D6096"/>
    <w:rsid w:val="002D6D3E"/>
    <w:rsid w:val="002E0D8E"/>
    <w:rsid w:val="002E0DAA"/>
    <w:rsid w:val="002E13F9"/>
    <w:rsid w:val="002E21BC"/>
    <w:rsid w:val="002E2707"/>
    <w:rsid w:val="002E2E45"/>
    <w:rsid w:val="002F239D"/>
    <w:rsid w:val="002F2AEC"/>
    <w:rsid w:val="002F2E5A"/>
    <w:rsid w:val="002F4D75"/>
    <w:rsid w:val="002F5903"/>
    <w:rsid w:val="00300277"/>
    <w:rsid w:val="00301655"/>
    <w:rsid w:val="00301EA7"/>
    <w:rsid w:val="00302EAC"/>
    <w:rsid w:val="00303FEA"/>
    <w:rsid w:val="00304AE8"/>
    <w:rsid w:val="00304EDD"/>
    <w:rsid w:val="00305CF7"/>
    <w:rsid w:val="003062AA"/>
    <w:rsid w:val="00311ECF"/>
    <w:rsid w:val="00311F19"/>
    <w:rsid w:val="00316BCA"/>
    <w:rsid w:val="00316C6A"/>
    <w:rsid w:val="003214E2"/>
    <w:rsid w:val="00322875"/>
    <w:rsid w:val="003234C5"/>
    <w:rsid w:val="00323861"/>
    <w:rsid w:val="0032394D"/>
    <w:rsid w:val="00324065"/>
    <w:rsid w:val="00331FDF"/>
    <w:rsid w:val="00332B56"/>
    <w:rsid w:val="00333E5A"/>
    <w:rsid w:val="00334186"/>
    <w:rsid w:val="00334C5C"/>
    <w:rsid w:val="00335D93"/>
    <w:rsid w:val="00337122"/>
    <w:rsid w:val="00340676"/>
    <w:rsid w:val="0035014D"/>
    <w:rsid w:val="00350634"/>
    <w:rsid w:val="003510D2"/>
    <w:rsid w:val="00354AE7"/>
    <w:rsid w:val="00354BF6"/>
    <w:rsid w:val="003560CA"/>
    <w:rsid w:val="00356F7C"/>
    <w:rsid w:val="00357F88"/>
    <w:rsid w:val="0036092C"/>
    <w:rsid w:val="00360946"/>
    <w:rsid w:val="00360CB3"/>
    <w:rsid w:val="0036193B"/>
    <w:rsid w:val="00362D97"/>
    <w:rsid w:val="003631AC"/>
    <w:rsid w:val="00363D89"/>
    <w:rsid w:val="00365B9B"/>
    <w:rsid w:val="003662B7"/>
    <w:rsid w:val="003722A2"/>
    <w:rsid w:val="0037723E"/>
    <w:rsid w:val="00377D43"/>
    <w:rsid w:val="0038030B"/>
    <w:rsid w:val="00380D1E"/>
    <w:rsid w:val="00381BF7"/>
    <w:rsid w:val="00382E74"/>
    <w:rsid w:val="00383BC9"/>
    <w:rsid w:val="003857C5"/>
    <w:rsid w:val="00385D5B"/>
    <w:rsid w:val="00386590"/>
    <w:rsid w:val="00386DC9"/>
    <w:rsid w:val="00392B6E"/>
    <w:rsid w:val="0039421E"/>
    <w:rsid w:val="00394F65"/>
    <w:rsid w:val="00395432"/>
    <w:rsid w:val="00395CD5"/>
    <w:rsid w:val="00395EEB"/>
    <w:rsid w:val="003A0AD4"/>
    <w:rsid w:val="003A384C"/>
    <w:rsid w:val="003A4183"/>
    <w:rsid w:val="003A4CFE"/>
    <w:rsid w:val="003A4ED1"/>
    <w:rsid w:val="003B0C0B"/>
    <w:rsid w:val="003B0CD3"/>
    <w:rsid w:val="003B3C9F"/>
    <w:rsid w:val="003B44B6"/>
    <w:rsid w:val="003B63F7"/>
    <w:rsid w:val="003B6C7A"/>
    <w:rsid w:val="003C583C"/>
    <w:rsid w:val="003C69EB"/>
    <w:rsid w:val="003C6CD7"/>
    <w:rsid w:val="003C6F75"/>
    <w:rsid w:val="003C7956"/>
    <w:rsid w:val="003C7A19"/>
    <w:rsid w:val="003D01CD"/>
    <w:rsid w:val="003D4C41"/>
    <w:rsid w:val="003D7174"/>
    <w:rsid w:val="003D7B08"/>
    <w:rsid w:val="003E0A6A"/>
    <w:rsid w:val="003E1129"/>
    <w:rsid w:val="003E2B13"/>
    <w:rsid w:val="003E39A1"/>
    <w:rsid w:val="003E402D"/>
    <w:rsid w:val="003F2777"/>
    <w:rsid w:val="003F309F"/>
    <w:rsid w:val="003F3B4E"/>
    <w:rsid w:val="003F4C84"/>
    <w:rsid w:val="003F6A90"/>
    <w:rsid w:val="00401154"/>
    <w:rsid w:val="004042C9"/>
    <w:rsid w:val="00404D8D"/>
    <w:rsid w:val="00406D97"/>
    <w:rsid w:val="0040757F"/>
    <w:rsid w:val="00415514"/>
    <w:rsid w:val="0041715A"/>
    <w:rsid w:val="00417305"/>
    <w:rsid w:val="00423964"/>
    <w:rsid w:val="004244E4"/>
    <w:rsid w:val="00425627"/>
    <w:rsid w:val="004270BC"/>
    <w:rsid w:val="004272B5"/>
    <w:rsid w:val="0043001C"/>
    <w:rsid w:val="00430B8A"/>
    <w:rsid w:val="00431E02"/>
    <w:rsid w:val="00432488"/>
    <w:rsid w:val="004345AE"/>
    <w:rsid w:val="00435B5B"/>
    <w:rsid w:val="00437EF5"/>
    <w:rsid w:val="00440069"/>
    <w:rsid w:val="0044781D"/>
    <w:rsid w:val="004506FC"/>
    <w:rsid w:val="00450775"/>
    <w:rsid w:val="00452095"/>
    <w:rsid w:val="00455DBB"/>
    <w:rsid w:val="0045673F"/>
    <w:rsid w:val="004606DF"/>
    <w:rsid w:val="00460EE6"/>
    <w:rsid w:val="004628AE"/>
    <w:rsid w:val="00462FEC"/>
    <w:rsid w:val="00463875"/>
    <w:rsid w:val="0046572D"/>
    <w:rsid w:val="00465A98"/>
    <w:rsid w:val="004661AC"/>
    <w:rsid w:val="00467248"/>
    <w:rsid w:val="00467B8A"/>
    <w:rsid w:val="00470F6F"/>
    <w:rsid w:val="00471B46"/>
    <w:rsid w:val="00472A81"/>
    <w:rsid w:val="00475D30"/>
    <w:rsid w:val="00477B00"/>
    <w:rsid w:val="00482A31"/>
    <w:rsid w:val="004832D3"/>
    <w:rsid w:val="00486B15"/>
    <w:rsid w:val="00487E26"/>
    <w:rsid w:val="00490A12"/>
    <w:rsid w:val="00491348"/>
    <w:rsid w:val="004929C5"/>
    <w:rsid w:val="00495E3A"/>
    <w:rsid w:val="004A11D5"/>
    <w:rsid w:val="004A1E15"/>
    <w:rsid w:val="004A2DED"/>
    <w:rsid w:val="004A37CE"/>
    <w:rsid w:val="004A38AF"/>
    <w:rsid w:val="004A79AC"/>
    <w:rsid w:val="004A7F29"/>
    <w:rsid w:val="004B26D2"/>
    <w:rsid w:val="004B3952"/>
    <w:rsid w:val="004B445F"/>
    <w:rsid w:val="004B5162"/>
    <w:rsid w:val="004B65B4"/>
    <w:rsid w:val="004B6E30"/>
    <w:rsid w:val="004B7229"/>
    <w:rsid w:val="004B7469"/>
    <w:rsid w:val="004B7EEF"/>
    <w:rsid w:val="004C1581"/>
    <w:rsid w:val="004C1EA7"/>
    <w:rsid w:val="004C2917"/>
    <w:rsid w:val="004C3BFB"/>
    <w:rsid w:val="004C6061"/>
    <w:rsid w:val="004C6920"/>
    <w:rsid w:val="004C7B5D"/>
    <w:rsid w:val="004D00D9"/>
    <w:rsid w:val="004D2058"/>
    <w:rsid w:val="004D2722"/>
    <w:rsid w:val="004D4BA1"/>
    <w:rsid w:val="004D5D5C"/>
    <w:rsid w:val="004E73C7"/>
    <w:rsid w:val="004F0784"/>
    <w:rsid w:val="004F1FEF"/>
    <w:rsid w:val="004F40F0"/>
    <w:rsid w:val="004F5EAF"/>
    <w:rsid w:val="0050153D"/>
    <w:rsid w:val="00502656"/>
    <w:rsid w:val="00511C4A"/>
    <w:rsid w:val="00513236"/>
    <w:rsid w:val="00514941"/>
    <w:rsid w:val="00515CFD"/>
    <w:rsid w:val="0052295C"/>
    <w:rsid w:val="0052624C"/>
    <w:rsid w:val="0052738E"/>
    <w:rsid w:val="0053277F"/>
    <w:rsid w:val="0053361D"/>
    <w:rsid w:val="00534B6A"/>
    <w:rsid w:val="00535B7B"/>
    <w:rsid w:val="005369F3"/>
    <w:rsid w:val="00536F1B"/>
    <w:rsid w:val="005373F9"/>
    <w:rsid w:val="005427E2"/>
    <w:rsid w:val="00542A03"/>
    <w:rsid w:val="00543AB7"/>
    <w:rsid w:val="00546036"/>
    <w:rsid w:val="00551D2F"/>
    <w:rsid w:val="00554138"/>
    <w:rsid w:val="00556CE9"/>
    <w:rsid w:val="00556E1F"/>
    <w:rsid w:val="0056185F"/>
    <w:rsid w:val="005628D1"/>
    <w:rsid w:val="005664EF"/>
    <w:rsid w:val="005677B9"/>
    <w:rsid w:val="0056789F"/>
    <w:rsid w:val="005711D6"/>
    <w:rsid w:val="00571BDE"/>
    <w:rsid w:val="00572154"/>
    <w:rsid w:val="005755DA"/>
    <w:rsid w:val="00575B74"/>
    <w:rsid w:val="00575E1B"/>
    <w:rsid w:val="00576324"/>
    <w:rsid w:val="00580028"/>
    <w:rsid w:val="00580C5A"/>
    <w:rsid w:val="00583AAA"/>
    <w:rsid w:val="00583DF5"/>
    <w:rsid w:val="00584675"/>
    <w:rsid w:val="0058490F"/>
    <w:rsid w:val="0058580A"/>
    <w:rsid w:val="005866C9"/>
    <w:rsid w:val="00586BDA"/>
    <w:rsid w:val="00587F87"/>
    <w:rsid w:val="00590DF7"/>
    <w:rsid w:val="005975AD"/>
    <w:rsid w:val="005A0CC9"/>
    <w:rsid w:val="005A1210"/>
    <w:rsid w:val="005A17AB"/>
    <w:rsid w:val="005A299A"/>
    <w:rsid w:val="005A3B6B"/>
    <w:rsid w:val="005A3F33"/>
    <w:rsid w:val="005A4DC7"/>
    <w:rsid w:val="005A4E58"/>
    <w:rsid w:val="005A5456"/>
    <w:rsid w:val="005A7667"/>
    <w:rsid w:val="005B1E59"/>
    <w:rsid w:val="005B3CDF"/>
    <w:rsid w:val="005B61E2"/>
    <w:rsid w:val="005B6911"/>
    <w:rsid w:val="005C16D5"/>
    <w:rsid w:val="005C20BD"/>
    <w:rsid w:val="005C23B6"/>
    <w:rsid w:val="005C293F"/>
    <w:rsid w:val="005C3FE2"/>
    <w:rsid w:val="005C4391"/>
    <w:rsid w:val="005C4394"/>
    <w:rsid w:val="005C4D68"/>
    <w:rsid w:val="005C5304"/>
    <w:rsid w:val="005C5573"/>
    <w:rsid w:val="005C6083"/>
    <w:rsid w:val="005C7A74"/>
    <w:rsid w:val="005D2CE9"/>
    <w:rsid w:val="005D4C91"/>
    <w:rsid w:val="005D5EDE"/>
    <w:rsid w:val="005D61FC"/>
    <w:rsid w:val="005D6966"/>
    <w:rsid w:val="005E07BA"/>
    <w:rsid w:val="005E0E4D"/>
    <w:rsid w:val="005E12E2"/>
    <w:rsid w:val="005E6020"/>
    <w:rsid w:val="005F0765"/>
    <w:rsid w:val="005F09D8"/>
    <w:rsid w:val="005F0FB1"/>
    <w:rsid w:val="005F14E2"/>
    <w:rsid w:val="005F3EF3"/>
    <w:rsid w:val="00600B5B"/>
    <w:rsid w:val="00600DDC"/>
    <w:rsid w:val="00603443"/>
    <w:rsid w:val="0060631C"/>
    <w:rsid w:val="0060643E"/>
    <w:rsid w:val="00612726"/>
    <w:rsid w:val="00615D12"/>
    <w:rsid w:val="00617FD1"/>
    <w:rsid w:val="0062157C"/>
    <w:rsid w:val="006276ED"/>
    <w:rsid w:val="00627C83"/>
    <w:rsid w:val="00627E83"/>
    <w:rsid w:val="0063021D"/>
    <w:rsid w:val="00633155"/>
    <w:rsid w:val="0063399A"/>
    <w:rsid w:val="00641198"/>
    <w:rsid w:val="00641FC0"/>
    <w:rsid w:val="00642C3F"/>
    <w:rsid w:val="0064326A"/>
    <w:rsid w:val="00645B5D"/>
    <w:rsid w:val="0064717D"/>
    <w:rsid w:val="006504E4"/>
    <w:rsid w:val="006514B9"/>
    <w:rsid w:val="0065420D"/>
    <w:rsid w:val="00654C02"/>
    <w:rsid w:val="006550D8"/>
    <w:rsid w:val="006553C9"/>
    <w:rsid w:val="006570BC"/>
    <w:rsid w:val="0066262F"/>
    <w:rsid w:val="0066263C"/>
    <w:rsid w:val="006633F6"/>
    <w:rsid w:val="00664EB9"/>
    <w:rsid w:val="00666814"/>
    <w:rsid w:val="00666AB6"/>
    <w:rsid w:val="006732AF"/>
    <w:rsid w:val="00681197"/>
    <w:rsid w:val="006831E4"/>
    <w:rsid w:val="0068556D"/>
    <w:rsid w:val="006919F0"/>
    <w:rsid w:val="006940C1"/>
    <w:rsid w:val="0069446E"/>
    <w:rsid w:val="0069606D"/>
    <w:rsid w:val="00697486"/>
    <w:rsid w:val="00697E9F"/>
    <w:rsid w:val="006A12AD"/>
    <w:rsid w:val="006A2275"/>
    <w:rsid w:val="006A2E86"/>
    <w:rsid w:val="006A501F"/>
    <w:rsid w:val="006A6FEF"/>
    <w:rsid w:val="006A7E7A"/>
    <w:rsid w:val="006B0BB8"/>
    <w:rsid w:val="006B2886"/>
    <w:rsid w:val="006B28C2"/>
    <w:rsid w:val="006B4CE1"/>
    <w:rsid w:val="006B671D"/>
    <w:rsid w:val="006B6E90"/>
    <w:rsid w:val="006C1919"/>
    <w:rsid w:val="006C3214"/>
    <w:rsid w:val="006C3EAF"/>
    <w:rsid w:val="006C4407"/>
    <w:rsid w:val="006C4934"/>
    <w:rsid w:val="006C50F6"/>
    <w:rsid w:val="006C52FB"/>
    <w:rsid w:val="006C69DB"/>
    <w:rsid w:val="006C6B19"/>
    <w:rsid w:val="006C71E4"/>
    <w:rsid w:val="006D21D6"/>
    <w:rsid w:val="006D293F"/>
    <w:rsid w:val="006D518C"/>
    <w:rsid w:val="006D5E5D"/>
    <w:rsid w:val="006D7D6B"/>
    <w:rsid w:val="006E04C0"/>
    <w:rsid w:val="006E0E8C"/>
    <w:rsid w:val="006E1B1E"/>
    <w:rsid w:val="006E1D07"/>
    <w:rsid w:val="006E3F1D"/>
    <w:rsid w:val="006E4CD2"/>
    <w:rsid w:val="006E5B48"/>
    <w:rsid w:val="006F0124"/>
    <w:rsid w:val="006F05CD"/>
    <w:rsid w:val="006F1E17"/>
    <w:rsid w:val="006F30B2"/>
    <w:rsid w:val="006F37EF"/>
    <w:rsid w:val="006F7312"/>
    <w:rsid w:val="006F75F8"/>
    <w:rsid w:val="006F7B60"/>
    <w:rsid w:val="007013E6"/>
    <w:rsid w:val="00703D89"/>
    <w:rsid w:val="00705A7E"/>
    <w:rsid w:val="0070643A"/>
    <w:rsid w:val="00706B87"/>
    <w:rsid w:val="007074FE"/>
    <w:rsid w:val="0071171C"/>
    <w:rsid w:val="00720997"/>
    <w:rsid w:val="0072698D"/>
    <w:rsid w:val="007272E4"/>
    <w:rsid w:val="00727A6A"/>
    <w:rsid w:val="00730A0C"/>
    <w:rsid w:val="00730E64"/>
    <w:rsid w:val="00732C1B"/>
    <w:rsid w:val="00732D94"/>
    <w:rsid w:val="007364B5"/>
    <w:rsid w:val="00737250"/>
    <w:rsid w:val="007407BB"/>
    <w:rsid w:val="0074331F"/>
    <w:rsid w:val="00744CC5"/>
    <w:rsid w:val="00747A65"/>
    <w:rsid w:val="00750336"/>
    <w:rsid w:val="0075067F"/>
    <w:rsid w:val="00751162"/>
    <w:rsid w:val="00751EAC"/>
    <w:rsid w:val="00752844"/>
    <w:rsid w:val="00753B7F"/>
    <w:rsid w:val="0075720A"/>
    <w:rsid w:val="0076201E"/>
    <w:rsid w:val="0076428F"/>
    <w:rsid w:val="00764ED2"/>
    <w:rsid w:val="00766670"/>
    <w:rsid w:val="00766C43"/>
    <w:rsid w:val="00767284"/>
    <w:rsid w:val="00770399"/>
    <w:rsid w:val="007729CA"/>
    <w:rsid w:val="00774BF1"/>
    <w:rsid w:val="007759B0"/>
    <w:rsid w:val="00775DBC"/>
    <w:rsid w:val="00775DF9"/>
    <w:rsid w:val="007770DA"/>
    <w:rsid w:val="007801C7"/>
    <w:rsid w:val="00780A91"/>
    <w:rsid w:val="00781404"/>
    <w:rsid w:val="007836BE"/>
    <w:rsid w:val="00786AA8"/>
    <w:rsid w:val="00787688"/>
    <w:rsid w:val="00787A59"/>
    <w:rsid w:val="00790C49"/>
    <w:rsid w:val="00790DB1"/>
    <w:rsid w:val="0079112C"/>
    <w:rsid w:val="0079324A"/>
    <w:rsid w:val="00794C5F"/>
    <w:rsid w:val="00795F77"/>
    <w:rsid w:val="00796475"/>
    <w:rsid w:val="007A0234"/>
    <w:rsid w:val="007A0830"/>
    <w:rsid w:val="007A1006"/>
    <w:rsid w:val="007A3521"/>
    <w:rsid w:val="007A397D"/>
    <w:rsid w:val="007A46B4"/>
    <w:rsid w:val="007A54B8"/>
    <w:rsid w:val="007A634B"/>
    <w:rsid w:val="007A6CA8"/>
    <w:rsid w:val="007B193B"/>
    <w:rsid w:val="007B1B72"/>
    <w:rsid w:val="007B28F3"/>
    <w:rsid w:val="007B2E32"/>
    <w:rsid w:val="007B3C0F"/>
    <w:rsid w:val="007B3EF5"/>
    <w:rsid w:val="007B5807"/>
    <w:rsid w:val="007B6E9D"/>
    <w:rsid w:val="007C1C64"/>
    <w:rsid w:val="007C47B3"/>
    <w:rsid w:val="007D0E0C"/>
    <w:rsid w:val="007D69EC"/>
    <w:rsid w:val="007D73EA"/>
    <w:rsid w:val="007E183A"/>
    <w:rsid w:val="007E313C"/>
    <w:rsid w:val="007E335F"/>
    <w:rsid w:val="007E3C4E"/>
    <w:rsid w:val="007E63E3"/>
    <w:rsid w:val="007E74B6"/>
    <w:rsid w:val="007E7B2D"/>
    <w:rsid w:val="007F1769"/>
    <w:rsid w:val="007F45F6"/>
    <w:rsid w:val="007F4A59"/>
    <w:rsid w:val="007F55A5"/>
    <w:rsid w:val="007F6222"/>
    <w:rsid w:val="007F76E6"/>
    <w:rsid w:val="00803681"/>
    <w:rsid w:val="00804F1C"/>
    <w:rsid w:val="008053B4"/>
    <w:rsid w:val="0080695E"/>
    <w:rsid w:val="00811C98"/>
    <w:rsid w:val="00812A9C"/>
    <w:rsid w:val="00813AD1"/>
    <w:rsid w:val="00813FB2"/>
    <w:rsid w:val="008152A3"/>
    <w:rsid w:val="008173D9"/>
    <w:rsid w:val="008219FC"/>
    <w:rsid w:val="008238E5"/>
    <w:rsid w:val="00823F60"/>
    <w:rsid w:val="008249EE"/>
    <w:rsid w:val="00830821"/>
    <w:rsid w:val="00830B9D"/>
    <w:rsid w:val="00833B4D"/>
    <w:rsid w:val="008352DD"/>
    <w:rsid w:val="008417F7"/>
    <w:rsid w:val="00842675"/>
    <w:rsid w:val="00842D01"/>
    <w:rsid w:val="00843A79"/>
    <w:rsid w:val="00844712"/>
    <w:rsid w:val="00845756"/>
    <w:rsid w:val="00845B26"/>
    <w:rsid w:val="00847F16"/>
    <w:rsid w:val="00851D32"/>
    <w:rsid w:val="00851ED3"/>
    <w:rsid w:val="00851EE9"/>
    <w:rsid w:val="00855AD5"/>
    <w:rsid w:val="00856472"/>
    <w:rsid w:val="008564E8"/>
    <w:rsid w:val="00856CB8"/>
    <w:rsid w:val="00860193"/>
    <w:rsid w:val="0086125A"/>
    <w:rsid w:val="0086397A"/>
    <w:rsid w:val="00865E04"/>
    <w:rsid w:val="00870D62"/>
    <w:rsid w:val="008736E1"/>
    <w:rsid w:val="00873E8B"/>
    <w:rsid w:val="00876179"/>
    <w:rsid w:val="008761B1"/>
    <w:rsid w:val="00876631"/>
    <w:rsid w:val="008773DE"/>
    <w:rsid w:val="008779CD"/>
    <w:rsid w:val="00877BA5"/>
    <w:rsid w:val="00881325"/>
    <w:rsid w:val="008872DE"/>
    <w:rsid w:val="00887661"/>
    <w:rsid w:val="00887B83"/>
    <w:rsid w:val="00890205"/>
    <w:rsid w:val="00891B65"/>
    <w:rsid w:val="00892A71"/>
    <w:rsid w:val="00895107"/>
    <w:rsid w:val="0089645C"/>
    <w:rsid w:val="008972D9"/>
    <w:rsid w:val="00897D7A"/>
    <w:rsid w:val="00897EC4"/>
    <w:rsid w:val="00897F82"/>
    <w:rsid w:val="008A0185"/>
    <w:rsid w:val="008A3939"/>
    <w:rsid w:val="008A4818"/>
    <w:rsid w:val="008A55EB"/>
    <w:rsid w:val="008A59AA"/>
    <w:rsid w:val="008A6A33"/>
    <w:rsid w:val="008A7EFF"/>
    <w:rsid w:val="008B1DA1"/>
    <w:rsid w:val="008B58BC"/>
    <w:rsid w:val="008B6E85"/>
    <w:rsid w:val="008C0FB2"/>
    <w:rsid w:val="008C278D"/>
    <w:rsid w:val="008C5C2A"/>
    <w:rsid w:val="008C6237"/>
    <w:rsid w:val="008C7C26"/>
    <w:rsid w:val="008D2376"/>
    <w:rsid w:val="008D3136"/>
    <w:rsid w:val="008D3514"/>
    <w:rsid w:val="008D3C04"/>
    <w:rsid w:val="008E037B"/>
    <w:rsid w:val="008E060A"/>
    <w:rsid w:val="008E0AF6"/>
    <w:rsid w:val="008E327A"/>
    <w:rsid w:val="008E4216"/>
    <w:rsid w:val="008E5FD6"/>
    <w:rsid w:val="008E6639"/>
    <w:rsid w:val="008F03D1"/>
    <w:rsid w:val="008F3C99"/>
    <w:rsid w:val="008F71A0"/>
    <w:rsid w:val="008F7807"/>
    <w:rsid w:val="009026ED"/>
    <w:rsid w:val="0090348B"/>
    <w:rsid w:val="00903AD9"/>
    <w:rsid w:val="00903C99"/>
    <w:rsid w:val="009059ED"/>
    <w:rsid w:val="0090698F"/>
    <w:rsid w:val="00910582"/>
    <w:rsid w:val="00912FDA"/>
    <w:rsid w:val="00912FE7"/>
    <w:rsid w:val="009137F1"/>
    <w:rsid w:val="00914DFB"/>
    <w:rsid w:val="00916F9D"/>
    <w:rsid w:val="0091744A"/>
    <w:rsid w:val="0092192F"/>
    <w:rsid w:val="009224FC"/>
    <w:rsid w:val="009232B4"/>
    <w:rsid w:val="00926B56"/>
    <w:rsid w:val="00927313"/>
    <w:rsid w:val="0093064C"/>
    <w:rsid w:val="00930AD5"/>
    <w:rsid w:val="00931238"/>
    <w:rsid w:val="009314F6"/>
    <w:rsid w:val="009354B8"/>
    <w:rsid w:val="0093581C"/>
    <w:rsid w:val="009364C0"/>
    <w:rsid w:val="009375CB"/>
    <w:rsid w:val="00937B29"/>
    <w:rsid w:val="0094063B"/>
    <w:rsid w:val="00942550"/>
    <w:rsid w:val="00942E89"/>
    <w:rsid w:val="009516DE"/>
    <w:rsid w:val="00952EF5"/>
    <w:rsid w:val="00953639"/>
    <w:rsid w:val="009543E5"/>
    <w:rsid w:val="009614CA"/>
    <w:rsid w:val="00961656"/>
    <w:rsid w:val="0096173B"/>
    <w:rsid w:val="00962679"/>
    <w:rsid w:val="00964E21"/>
    <w:rsid w:val="00966A25"/>
    <w:rsid w:val="00967F21"/>
    <w:rsid w:val="00967F8F"/>
    <w:rsid w:val="009718FC"/>
    <w:rsid w:val="00975674"/>
    <w:rsid w:val="009763E0"/>
    <w:rsid w:val="00977C8B"/>
    <w:rsid w:val="0098110D"/>
    <w:rsid w:val="009856B6"/>
    <w:rsid w:val="00986ABC"/>
    <w:rsid w:val="009902D2"/>
    <w:rsid w:val="00990436"/>
    <w:rsid w:val="00992FF9"/>
    <w:rsid w:val="00993045"/>
    <w:rsid w:val="00993CEF"/>
    <w:rsid w:val="009952F1"/>
    <w:rsid w:val="00995736"/>
    <w:rsid w:val="00995F07"/>
    <w:rsid w:val="0099704E"/>
    <w:rsid w:val="009A061F"/>
    <w:rsid w:val="009A0944"/>
    <w:rsid w:val="009A19C3"/>
    <w:rsid w:val="009A3640"/>
    <w:rsid w:val="009A3890"/>
    <w:rsid w:val="009A44DB"/>
    <w:rsid w:val="009A4ABE"/>
    <w:rsid w:val="009B08A5"/>
    <w:rsid w:val="009B091D"/>
    <w:rsid w:val="009B2CFE"/>
    <w:rsid w:val="009B3806"/>
    <w:rsid w:val="009B5C73"/>
    <w:rsid w:val="009B67EA"/>
    <w:rsid w:val="009C2C9A"/>
    <w:rsid w:val="009C4BAA"/>
    <w:rsid w:val="009C57E8"/>
    <w:rsid w:val="009C5917"/>
    <w:rsid w:val="009C6306"/>
    <w:rsid w:val="009D0985"/>
    <w:rsid w:val="009D18E0"/>
    <w:rsid w:val="009D52A6"/>
    <w:rsid w:val="009D5FB1"/>
    <w:rsid w:val="009D625C"/>
    <w:rsid w:val="009D7A8E"/>
    <w:rsid w:val="009E225F"/>
    <w:rsid w:val="009E2492"/>
    <w:rsid w:val="009E2F0B"/>
    <w:rsid w:val="009E324A"/>
    <w:rsid w:val="009E4CAE"/>
    <w:rsid w:val="009E5616"/>
    <w:rsid w:val="009E6494"/>
    <w:rsid w:val="009E7033"/>
    <w:rsid w:val="009E72AA"/>
    <w:rsid w:val="009E75A9"/>
    <w:rsid w:val="009E768F"/>
    <w:rsid w:val="009F0319"/>
    <w:rsid w:val="009F0740"/>
    <w:rsid w:val="009F14D2"/>
    <w:rsid w:val="009F552B"/>
    <w:rsid w:val="009F6457"/>
    <w:rsid w:val="009F66B9"/>
    <w:rsid w:val="009F6FC3"/>
    <w:rsid w:val="009F7907"/>
    <w:rsid w:val="00A0090C"/>
    <w:rsid w:val="00A02DED"/>
    <w:rsid w:val="00A04955"/>
    <w:rsid w:val="00A07FF0"/>
    <w:rsid w:val="00A123E2"/>
    <w:rsid w:val="00A13182"/>
    <w:rsid w:val="00A14B5F"/>
    <w:rsid w:val="00A15540"/>
    <w:rsid w:val="00A155FA"/>
    <w:rsid w:val="00A17117"/>
    <w:rsid w:val="00A1745E"/>
    <w:rsid w:val="00A20472"/>
    <w:rsid w:val="00A23AE2"/>
    <w:rsid w:val="00A26618"/>
    <w:rsid w:val="00A35554"/>
    <w:rsid w:val="00A37D20"/>
    <w:rsid w:val="00A37F9A"/>
    <w:rsid w:val="00A409FD"/>
    <w:rsid w:val="00A445A6"/>
    <w:rsid w:val="00A46E25"/>
    <w:rsid w:val="00A525B1"/>
    <w:rsid w:val="00A539A4"/>
    <w:rsid w:val="00A54BEE"/>
    <w:rsid w:val="00A55A0A"/>
    <w:rsid w:val="00A56ACE"/>
    <w:rsid w:val="00A57021"/>
    <w:rsid w:val="00A5712F"/>
    <w:rsid w:val="00A60FD1"/>
    <w:rsid w:val="00A62068"/>
    <w:rsid w:val="00A6232B"/>
    <w:rsid w:val="00A63896"/>
    <w:rsid w:val="00A63A57"/>
    <w:rsid w:val="00A640F5"/>
    <w:rsid w:val="00A6481D"/>
    <w:rsid w:val="00A64B10"/>
    <w:rsid w:val="00A64D2A"/>
    <w:rsid w:val="00A6569B"/>
    <w:rsid w:val="00A65B45"/>
    <w:rsid w:val="00A66D76"/>
    <w:rsid w:val="00A7007B"/>
    <w:rsid w:val="00A700D9"/>
    <w:rsid w:val="00A7214E"/>
    <w:rsid w:val="00A72926"/>
    <w:rsid w:val="00A739C5"/>
    <w:rsid w:val="00A73DCE"/>
    <w:rsid w:val="00A7565F"/>
    <w:rsid w:val="00A76BB8"/>
    <w:rsid w:val="00A76FB5"/>
    <w:rsid w:val="00A83007"/>
    <w:rsid w:val="00A848CE"/>
    <w:rsid w:val="00A84DD2"/>
    <w:rsid w:val="00A93717"/>
    <w:rsid w:val="00A94520"/>
    <w:rsid w:val="00A949DD"/>
    <w:rsid w:val="00A97412"/>
    <w:rsid w:val="00AA0223"/>
    <w:rsid w:val="00AA5170"/>
    <w:rsid w:val="00AA57D5"/>
    <w:rsid w:val="00AA63C8"/>
    <w:rsid w:val="00AA7C38"/>
    <w:rsid w:val="00AB2419"/>
    <w:rsid w:val="00AB3A3B"/>
    <w:rsid w:val="00AB511A"/>
    <w:rsid w:val="00AC1B2A"/>
    <w:rsid w:val="00AC1BEE"/>
    <w:rsid w:val="00AC1DC7"/>
    <w:rsid w:val="00AC2C8F"/>
    <w:rsid w:val="00AC51D7"/>
    <w:rsid w:val="00AD0514"/>
    <w:rsid w:val="00AD1521"/>
    <w:rsid w:val="00AD1D4A"/>
    <w:rsid w:val="00AD4363"/>
    <w:rsid w:val="00AD5E28"/>
    <w:rsid w:val="00AE02E1"/>
    <w:rsid w:val="00AE3CF5"/>
    <w:rsid w:val="00AE3FE1"/>
    <w:rsid w:val="00AE4A6E"/>
    <w:rsid w:val="00AE4E29"/>
    <w:rsid w:val="00AE4F85"/>
    <w:rsid w:val="00AE6531"/>
    <w:rsid w:val="00AE6607"/>
    <w:rsid w:val="00AE6702"/>
    <w:rsid w:val="00AF0028"/>
    <w:rsid w:val="00AF0174"/>
    <w:rsid w:val="00AF067E"/>
    <w:rsid w:val="00B02F16"/>
    <w:rsid w:val="00B03550"/>
    <w:rsid w:val="00B06B92"/>
    <w:rsid w:val="00B1102A"/>
    <w:rsid w:val="00B12134"/>
    <w:rsid w:val="00B1688E"/>
    <w:rsid w:val="00B212CC"/>
    <w:rsid w:val="00B25AB3"/>
    <w:rsid w:val="00B27701"/>
    <w:rsid w:val="00B31D23"/>
    <w:rsid w:val="00B322FB"/>
    <w:rsid w:val="00B330E5"/>
    <w:rsid w:val="00B34815"/>
    <w:rsid w:val="00B34D51"/>
    <w:rsid w:val="00B35AD6"/>
    <w:rsid w:val="00B4029A"/>
    <w:rsid w:val="00B41215"/>
    <w:rsid w:val="00B413CA"/>
    <w:rsid w:val="00B41920"/>
    <w:rsid w:val="00B41945"/>
    <w:rsid w:val="00B41ADF"/>
    <w:rsid w:val="00B46D9E"/>
    <w:rsid w:val="00B50E78"/>
    <w:rsid w:val="00B516AB"/>
    <w:rsid w:val="00B52AE4"/>
    <w:rsid w:val="00B55016"/>
    <w:rsid w:val="00B55231"/>
    <w:rsid w:val="00B568EB"/>
    <w:rsid w:val="00B65313"/>
    <w:rsid w:val="00B70502"/>
    <w:rsid w:val="00B711D2"/>
    <w:rsid w:val="00B73C86"/>
    <w:rsid w:val="00B77223"/>
    <w:rsid w:val="00B81C65"/>
    <w:rsid w:val="00B82C29"/>
    <w:rsid w:val="00B838CB"/>
    <w:rsid w:val="00B91FCA"/>
    <w:rsid w:val="00B935B0"/>
    <w:rsid w:val="00B9490D"/>
    <w:rsid w:val="00BA06EB"/>
    <w:rsid w:val="00BA0E53"/>
    <w:rsid w:val="00BA13E0"/>
    <w:rsid w:val="00BA14A3"/>
    <w:rsid w:val="00BA21F3"/>
    <w:rsid w:val="00BA2339"/>
    <w:rsid w:val="00BA3744"/>
    <w:rsid w:val="00BA547C"/>
    <w:rsid w:val="00BA584B"/>
    <w:rsid w:val="00BA6951"/>
    <w:rsid w:val="00BA781A"/>
    <w:rsid w:val="00BA7F61"/>
    <w:rsid w:val="00BB30DE"/>
    <w:rsid w:val="00BB3572"/>
    <w:rsid w:val="00BB3990"/>
    <w:rsid w:val="00BB3C59"/>
    <w:rsid w:val="00BB4DC1"/>
    <w:rsid w:val="00BB5D95"/>
    <w:rsid w:val="00BC02D9"/>
    <w:rsid w:val="00BC2EB6"/>
    <w:rsid w:val="00BC42A4"/>
    <w:rsid w:val="00BC60FF"/>
    <w:rsid w:val="00BC63FF"/>
    <w:rsid w:val="00BC703E"/>
    <w:rsid w:val="00BC76B5"/>
    <w:rsid w:val="00BD1360"/>
    <w:rsid w:val="00BD1859"/>
    <w:rsid w:val="00BD1FAB"/>
    <w:rsid w:val="00BE2F74"/>
    <w:rsid w:val="00BE381F"/>
    <w:rsid w:val="00BF1645"/>
    <w:rsid w:val="00BF2DA8"/>
    <w:rsid w:val="00BF3D00"/>
    <w:rsid w:val="00C00339"/>
    <w:rsid w:val="00C00365"/>
    <w:rsid w:val="00C029FB"/>
    <w:rsid w:val="00C04B7C"/>
    <w:rsid w:val="00C04F76"/>
    <w:rsid w:val="00C05185"/>
    <w:rsid w:val="00C063A3"/>
    <w:rsid w:val="00C06865"/>
    <w:rsid w:val="00C1112F"/>
    <w:rsid w:val="00C12321"/>
    <w:rsid w:val="00C138CB"/>
    <w:rsid w:val="00C15A3A"/>
    <w:rsid w:val="00C1644D"/>
    <w:rsid w:val="00C21521"/>
    <w:rsid w:val="00C24908"/>
    <w:rsid w:val="00C24B3C"/>
    <w:rsid w:val="00C255D7"/>
    <w:rsid w:val="00C30D96"/>
    <w:rsid w:val="00C3170E"/>
    <w:rsid w:val="00C33419"/>
    <w:rsid w:val="00C347F4"/>
    <w:rsid w:val="00C35C5F"/>
    <w:rsid w:val="00C36EE3"/>
    <w:rsid w:val="00C41823"/>
    <w:rsid w:val="00C44032"/>
    <w:rsid w:val="00C4475D"/>
    <w:rsid w:val="00C465F1"/>
    <w:rsid w:val="00C4668F"/>
    <w:rsid w:val="00C467A4"/>
    <w:rsid w:val="00C4764F"/>
    <w:rsid w:val="00C502D0"/>
    <w:rsid w:val="00C5325D"/>
    <w:rsid w:val="00C54600"/>
    <w:rsid w:val="00C55A0D"/>
    <w:rsid w:val="00C55B53"/>
    <w:rsid w:val="00C56742"/>
    <w:rsid w:val="00C61848"/>
    <w:rsid w:val="00C61FE6"/>
    <w:rsid w:val="00C641C6"/>
    <w:rsid w:val="00C64A81"/>
    <w:rsid w:val="00C656AE"/>
    <w:rsid w:val="00C67560"/>
    <w:rsid w:val="00C67B72"/>
    <w:rsid w:val="00C72535"/>
    <w:rsid w:val="00C73D9F"/>
    <w:rsid w:val="00C7745F"/>
    <w:rsid w:val="00C80352"/>
    <w:rsid w:val="00C80E0B"/>
    <w:rsid w:val="00C830A6"/>
    <w:rsid w:val="00C84956"/>
    <w:rsid w:val="00C85222"/>
    <w:rsid w:val="00C8759D"/>
    <w:rsid w:val="00C87E02"/>
    <w:rsid w:val="00C90BE3"/>
    <w:rsid w:val="00C9182F"/>
    <w:rsid w:val="00C91F30"/>
    <w:rsid w:val="00C92FC7"/>
    <w:rsid w:val="00C94F69"/>
    <w:rsid w:val="00C959CF"/>
    <w:rsid w:val="00C9683C"/>
    <w:rsid w:val="00C97589"/>
    <w:rsid w:val="00CA0BF9"/>
    <w:rsid w:val="00CA13BF"/>
    <w:rsid w:val="00CA3899"/>
    <w:rsid w:val="00CA436A"/>
    <w:rsid w:val="00CA7F49"/>
    <w:rsid w:val="00CB204E"/>
    <w:rsid w:val="00CB222F"/>
    <w:rsid w:val="00CB69DE"/>
    <w:rsid w:val="00CB736B"/>
    <w:rsid w:val="00CC0DBF"/>
    <w:rsid w:val="00CC1B6C"/>
    <w:rsid w:val="00CC2466"/>
    <w:rsid w:val="00CC4520"/>
    <w:rsid w:val="00CC5A55"/>
    <w:rsid w:val="00CC7809"/>
    <w:rsid w:val="00CD1337"/>
    <w:rsid w:val="00CD21D0"/>
    <w:rsid w:val="00CD232C"/>
    <w:rsid w:val="00CD25DA"/>
    <w:rsid w:val="00CD555B"/>
    <w:rsid w:val="00CD655A"/>
    <w:rsid w:val="00CE2B7D"/>
    <w:rsid w:val="00CE3E31"/>
    <w:rsid w:val="00CE5898"/>
    <w:rsid w:val="00CE79EA"/>
    <w:rsid w:val="00CE7EA6"/>
    <w:rsid w:val="00CF0ACB"/>
    <w:rsid w:val="00CF1B93"/>
    <w:rsid w:val="00CF2D1C"/>
    <w:rsid w:val="00CF3BFE"/>
    <w:rsid w:val="00CF3CE0"/>
    <w:rsid w:val="00CF4515"/>
    <w:rsid w:val="00CF59BF"/>
    <w:rsid w:val="00CF5C08"/>
    <w:rsid w:val="00CF73CB"/>
    <w:rsid w:val="00D0046A"/>
    <w:rsid w:val="00D00804"/>
    <w:rsid w:val="00D03801"/>
    <w:rsid w:val="00D045AD"/>
    <w:rsid w:val="00D05179"/>
    <w:rsid w:val="00D055AB"/>
    <w:rsid w:val="00D07AE9"/>
    <w:rsid w:val="00D1174D"/>
    <w:rsid w:val="00D11910"/>
    <w:rsid w:val="00D133F7"/>
    <w:rsid w:val="00D146B4"/>
    <w:rsid w:val="00D15495"/>
    <w:rsid w:val="00D15D92"/>
    <w:rsid w:val="00D16E87"/>
    <w:rsid w:val="00D17C5D"/>
    <w:rsid w:val="00D215C7"/>
    <w:rsid w:val="00D22365"/>
    <w:rsid w:val="00D23BF9"/>
    <w:rsid w:val="00D23E2C"/>
    <w:rsid w:val="00D25C17"/>
    <w:rsid w:val="00D261FB"/>
    <w:rsid w:val="00D27E12"/>
    <w:rsid w:val="00D27FED"/>
    <w:rsid w:val="00D32AED"/>
    <w:rsid w:val="00D33E0D"/>
    <w:rsid w:val="00D36830"/>
    <w:rsid w:val="00D407AB"/>
    <w:rsid w:val="00D40A42"/>
    <w:rsid w:val="00D43013"/>
    <w:rsid w:val="00D431BA"/>
    <w:rsid w:val="00D44572"/>
    <w:rsid w:val="00D44B90"/>
    <w:rsid w:val="00D45FF2"/>
    <w:rsid w:val="00D476BE"/>
    <w:rsid w:val="00D50479"/>
    <w:rsid w:val="00D50973"/>
    <w:rsid w:val="00D54B10"/>
    <w:rsid w:val="00D54B70"/>
    <w:rsid w:val="00D55C1A"/>
    <w:rsid w:val="00D60636"/>
    <w:rsid w:val="00D61883"/>
    <w:rsid w:val="00D62B4A"/>
    <w:rsid w:val="00D62C82"/>
    <w:rsid w:val="00D62F58"/>
    <w:rsid w:val="00D6349B"/>
    <w:rsid w:val="00D64419"/>
    <w:rsid w:val="00D64F4A"/>
    <w:rsid w:val="00D64FB8"/>
    <w:rsid w:val="00D65CF1"/>
    <w:rsid w:val="00D71ADE"/>
    <w:rsid w:val="00D71B34"/>
    <w:rsid w:val="00D736D4"/>
    <w:rsid w:val="00D76497"/>
    <w:rsid w:val="00D80E3F"/>
    <w:rsid w:val="00D824B6"/>
    <w:rsid w:val="00D82A78"/>
    <w:rsid w:val="00D84999"/>
    <w:rsid w:val="00D87673"/>
    <w:rsid w:val="00D87A54"/>
    <w:rsid w:val="00D90338"/>
    <w:rsid w:val="00D9379D"/>
    <w:rsid w:val="00D93A85"/>
    <w:rsid w:val="00D94B9F"/>
    <w:rsid w:val="00D958F9"/>
    <w:rsid w:val="00D9775A"/>
    <w:rsid w:val="00DA2CD1"/>
    <w:rsid w:val="00DA365F"/>
    <w:rsid w:val="00DA4254"/>
    <w:rsid w:val="00DA5DE6"/>
    <w:rsid w:val="00DA6DAB"/>
    <w:rsid w:val="00DB0DFA"/>
    <w:rsid w:val="00DB1729"/>
    <w:rsid w:val="00DB209D"/>
    <w:rsid w:val="00DB44EC"/>
    <w:rsid w:val="00DB4A9D"/>
    <w:rsid w:val="00DB5CF5"/>
    <w:rsid w:val="00DB72B2"/>
    <w:rsid w:val="00DC070C"/>
    <w:rsid w:val="00DC35A1"/>
    <w:rsid w:val="00DC645B"/>
    <w:rsid w:val="00DD0C06"/>
    <w:rsid w:val="00DD18BA"/>
    <w:rsid w:val="00DD4D43"/>
    <w:rsid w:val="00DD54DE"/>
    <w:rsid w:val="00DD6BE2"/>
    <w:rsid w:val="00DD6DD0"/>
    <w:rsid w:val="00DE4442"/>
    <w:rsid w:val="00DE5F87"/>
    <w:rsid w:val="00DF1FF6"/>
    <w:rsid w:val="00DF29BF"/>
    <w:rsid w:val="00DF3D3E"/>
    <w:rsid w:val="00DF6E25"/>
    <w:rsid w:val="00E00A20"/>
    <w:rsid w:val="00E01C09"/>
    <w:rsid w:val="00E04445"/>
    <w:rsid w:val="00E04B80"/>
    <w:rsid w:val="00E04C00"/>
    <w:rsid w:val="00E06964"/>
    <w:rsid w:val="00E120C3"/>
    <w:rsid w:val="00E128BF"/>
    <w:rsid w:val="00E12A75"/>
    <w:rsid w:val="00E14795"/>
    <w:rsid w:val="00E17E4D"/>
    <w:rsid w:val="00E20A47"/>
    <w:rsid w:val="00E2243D"/>
    <w:rsid w:val="00E24248"/>
    <w:rsid w:val="00E31EDC"/>
    <w:rsid w:val="00E321A8"/>
    <w:rsid w:val="00E33162"/>
    <w:rsid w:val="00E37EF2"/>
    <w:rsid w:val="00E445FB"/>
    <w:rsid w:val="00E451F9"/>
    <w:rsid w:val="00E4533F"/>
    <w:rsid w:val="00E4641E"/>
    <w:rsid w:val="00E476A8"/>
    <w:rsid w:val="00E47CAB"/>
    <w:rsid w:val="00E50803"/>
    <w:rsid w:val="00E50CDC"/>
    <w:rsid w:val="00E513C8"/>
    <w:rsid w:val="00E53830"/>
    <w:rsid w:val="00E53CD8"/>
    <w:rsid w:val="00E57CAF"/>
    <w:rsid w:val="00E601B2"/>
    <w:rsid w:val="00E611E0"/>
    <w:rsid w:val="00E61A7A"/>
    <w:rsid w:val="00E61A9F"/>
    <w:rsid w:val="00E64F82"/>
    <w:rsid w:val="00E6606B"/>
    <w:rsid w:val="00E664F6"/>
    <w:rsid w:val="00E674AF"/>
    <w:rsid w:val="00E70FB2"/>
    <w:rsid w:val="00E71790"/>
    <w:rsid w:val="00E72F2A"/>
    <w:rsid w:val="00E752D4"/>
    <w:rsid w:val="00E7587A"/>
    <w:rsid w:val="00E75A50"/>
    <w:rsid w:val="00E776DB"/>
    <w:rsid w:val="00E77C86"/>
    <w:rsid w:val="00E77F04"/>
    <w:rsid w:val="00E811AD"/>
    <w:rsid w:val="00E829EA"/>
    <w:rsid w:val="00E8489D"/>
    <w:rsid w:val="00E84E1B"/>
    <w:rsid w:val="00E85F8B"/>
    <w:rsid w:val="00E872A8"/>
    <w:rsid w:val="00E9141B"/>
    <w:rsid w:val="00EA08DD"/>
    <w:rsid w:val="00EA0B4A"/>
    <w:rsid w:val="00EA21C3"/>
    <w:rsid w:val="00EA2ABD"/>
    <w:rsid w:val="00EA437D"/>
    <w:rsid w:val="00EA7001"/>
    <w:rsid w:val="00EB0B58"/>
    <w:rsid w:val="00EB3028"/>
    <w:rsid w:val="00EB5C7B"/>
    <w:rsid w:val="00EC3250"/>
    <w:rsid w:val="00EC3ABD"/>
    <w:rsid w:val="00EC6640"/>
    <w:rsid w:val="00ED10FF"/>
    <w:rsid w:val="00ED2881"/>
    <w:rsid w:val="00ED2B8B"/>
    <w:rsid w:val="00ED2F31"/>
    <w:rsid w:val="00ED37F6"/>
    <w:rsid w:val="00ED3B6C"/>
    <w:rsid w:val="00ED45F7"/>
    <w:rsid w:val="00EE10C9"/>
    <w:rsid w:val="00EE1656"/>
    <w:rsid w:val="00EE4FCC"/>
    <w:rsid w:val="00EE6A66"/>
    <w:rsid w:val="00EF0879"/>
    <w:rsid w:val="00EF0D26"/>
    <w:rsid w:val="00EF11B6"/>
    <w:rsid w:val="00EF193F"/>
    <w:rsid w:val="00EF3500"/>
    <w:rsid w:val="00EF3843"/>
    <w:rsid w:val="00EF5196"/>
    <w:rsid w:val="00EF573E"/>
    <w:rsid w:val="00F003F8"/>
    <w:rsid w:val="00F00ED7"/>
    <w:rsid w:val="00F02FA7"/>
    <w:rsid w:val="00F0389A"/>
    <w:rsid w:val="00F045A3"/>
    <w:rsid w:val="00F103C6"/>
    <w:rsid w:val="00F1051B"/>
    <w:rsid w:val="00F10603"/>
    <w:rsid w:val="00F10FC0"/>
    <w:rsid w:val="00F12508"/>
    <w:rsid w:val="00F129D0"/>
    <w:rsid w:val="00F16BF4"/>
    <w:rsid w:val="00F17E2A"/>
    <w:rsid w:val="00F2049B"/>
    <w:rsid w:val="00F20788"/>
    <w:rsid w:val="00F255EA"/>
    <w:rsid w:val="00F276F7"/>
    <w:rsid w:val="00F31250"/>
    <w:rsid w:val="00F31B3C"/>
    <w:rsid w:val="00F34410"/>
    <w:rsid w:val="00F37676"/>
    <w:rsid w:val="00F4019E"/>
    <w:rsid w:val="00F401BF"/>
    <w:rsid w:val="00F40B0F"/>
    <w:rsid w:val="00F43921"/>
    <w:rsid w:val="00F44880"/>
    <w:rsid w:val="00F455A8"/>
    <w:rsid w:val="00F50B69"/>
    <w:rsid w:val="00F52240"/>
    <w:rsid w:val="00F5540B"/>
    <w:rsid w:val="00F559B4"/>
    <w:rsid w:val="00F57258"/>
    <w:rsid w:val="00F57399"/>
    <w:rsid w:val="00F6083B"/>
    <w:rsid w:val="00F60FBC"/>
    <w:rsid w:val="00F65516"/>
    <w:rsid w:val="00F65E73"/>
    <w:rsid w:val="00F70CFC"/>
    <w:rsid w:val="00F72465"/>
    <w:rsid w:val="00F732C0"/>
    <w:rsid w:val="00F73820"/>
    <w:rsid w:val="00F73D71"/>
    <w:rsid w:val="00F75515"/>
    <w:rsid w:val="00F76B88"/>
    <w:rsid w:val="00F80CEF"/>
    <w:rsid w:val="00F81F98"/>
    <w:rsid w:val="00F84351"/>
    <w:rsid w:val="00F84E29"/>
    <w:rsid w:val="00F84E3C"/>
    <w:rsid w:val="00F85435"/>
    <w:rsid w:val="00F85D94"/>
    <w:rsid w:val="00F90DFF"/>
    <w:rsid w:val="00F92592"/>
    <w:rsid w:val="00F9259C"/>
    <w:rsid w:val="00F92751"/>
    <w:rsid w:val="00F92D4C"/>
    <w:rsid w:val="00F93C56"/>
    <w:rsid w:val="00F93F55"/>
    <w:rsid w:val="00FA010A"/>
    <w:rsid w:val="00FA01B9"/>
    <w:rsid w:val="00FA0470"/>
    <w:rsid w:val="00FA04DB"/>
    <w:rsid w:val="00FA2DB1"/>
    <w:rsid w:val="00FA3CA5"/>
    <w:rsid w:val="00FA4729"/>
    <w:rsid w:val="00FA4BA7"/>
    <w:rsid w:val="00FA6C9A"/>
    <w:rsid w:val="00FB0126"/>
    <w:rsid w:val="00FB09B1"/>
    <w:rsid w:val="00FB3699"/>
    <w:rsid w:val="00FB5C66"/>
    <w:rsid w:val="00FB6A2D"/>
    <w:rsid w:val="00FC085F"/>
    <w:rsid w:val="00FC24D5"/>
    <w:rsid w:val="00FC2847"/>
    <w:rsid w:val="00FD01FD"/>
    <w:rsid w:val="00FD0CAF"/>
    <w:rsid w:val="00FD0D4A"/>
    <w:rsid w:val="00FD1E8A"/>
    <w:rsid w:val="00FD200C"/>
    <w:rsid w:val="00FD2EA6"/>
    <w:rsid w:val="00FD4AF6"/>
    <w:rsid w:val="00FD4E22"/>
    <w:rsid w:val="00FD5839"/>
    <w:rsid w:val="00FD6D54"/>
    <w:rsid w:val="00FD7309"/>
    <w:rsid w:val="00FE2D20"/>
    <w:rsid w:val="00FE34B8"/>
    <w:rsid w:val="00FE3A1D"/>
    <w:rsid w:val="00FE4975"/>
    <w:rsid w:val="00FE57D7"/>
    <w:rsid w:val="00FF1E9A"/>
    <w:rsid w:val="00FF349D"/>
    <w:rsid w:val="00FF3E05"/>
    <w:rsid w:val="00FF42D1"/>
    <w:rsid w:val="00FF4320"/>
    <w:rsid w:val="00FF5F13"/>
    <w:rsid w:val="00FF79AC"/>
    <w:rsid w:val="00FF7BE6"/>
    <w:rsid w:val="00FF7DD0"/>
    <w:rsid w:val="00FF7EE6"/>
    <w:rsid w:val="08F17F42"/>
    <w:rsid w:val="09DA6CC4"/>
    <w:rsid w:val="117F5996"/>
    <w:rsid w:val="1AE41750"/>
    <w:rsid w:val="1F7546E5"/>
    <w:rsid w:val="250D6B58"/>
    <w:rsid w:val="34A51AF9"/>
    <w:rsid w:val="370E7E29"/>
    <w:rsid w:val="3BF668A2"/>
    <w:rsid w:val="415D5C35"/>
    <w:rsid w:val="43B02CDB"/>
    <w:rsid w:val="43E629C7"/>
    <w:rsid w:val="47D30E5C"/>
    <w:rsid w:val="48CF75B3"/>
    <w:rsid w:val="55C94619"/>
    <w:rsid w:val="5B1878EA"/>
    <w:rsid w:val="5E3E54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33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ascii="方正书宋简体" w:hAnsi="Times New Roman" w:eastAsia="方正书宋简体" w:cs="Times New Roman"/>
      <w:kern w:val="2"/>
      <w:sz w:val="21"/>
      <w:szCs w:val="24"/>
      <w:lang w:val="en-US" w:eastAsia="zh-CN" w:bidi="ar-SA"/>
      <w14:ligatures w14:val="standardContextual"/>
    </w:rPr>
  </w:style>
  <w:style w:type="paragraph" w:styleId="2">
    <w:name w:val="heading 1"/>
    <w:next w:val="1"/>
    <w:link w:val="28"/>
    <w:qFormat/>
    <w:uiPriority w:val="0"/>
    <w:pPr>
      <w:keepNext/>
      <w:numPr>
        <w:ilvl w:val="0"/>
        <w:numId w:val="1"/>
      </w:numPr>
      <w:adjustRightInd w:val="0"/>
      <w:spacing w:line="240" w:lineRule="atLeast"/>
      <w:jc w:val="both"/>
      <w:outlineLvl w:val="0"/>
    </w:pPr>
    <w:rPr>
      <w:rFonts w:ascii="Times New Roman" w:hAnsi="Times New Roman" w:eastAsia="方正黑体简体" w:cs="Times New Roman"/>
      <w:kern w:val="2"/>
      <w:sz w:val="24"/>
      <w:lang w:val="en-US" w:eastAsia="zh-CN" w:bidi="ar-SA"/>
      <w14:ligatures w14:val="standardContextual"/>
    </w:rPr>
  </w:style>
  <w:style w:type="paragraph" w:styleId="3">
    <w:name w:val="heading 2"/>
    <w:next w:val="1"/>
    <w:link w:val="26"/>
    <w:qFormat/>
    <w:uiPriority w:val="0"/>
    <w:pPr>
      <w:widowControl w:val="0"/>
      <w:numPr>
        <w:ilvl w:val="1"/>
        <w:numId w:val="1"/>
      </w:numPr>
      <w:adjustRightInd w:val="0"/>
      <w:snapToGrid w:val="0"/>
      <w:spacing w:line="105" w:lineRule="atLeast"/>
      <w:jc w:val="both"/>
      <w:outlineLvl w:val="1"/>
    </w:pPr>
    <w:rPr>
      <w:rFonts w:ascii="Times New Roman" w:hAnsi="Times New Roman" w:eastAsia="方正黑体简体" w:cs="Times New Roman"/>
      <w:kern w:val="2"/>
      <w:sz w:val="21"/>
      <w:szCs w:val="24"/>
      <w:lang w:val="en-US" w:eastAsia="zh-CN" w:bidi="ar-SA"/>
      <w14:ligatures w14:val="standardContextual"/>
    </w:rPr>
  </w:style>
  <w:style w:type="paragraph" w:styleId="4">
    <w:name w:val="heading 3"/>
    <w:next w:val="1"/>
    <w:link w:val="24"/>
    <w:qFormat/>
    <w:uiPriority w:val="0"/>
    <w:pPr>
      <w:keepNext/>
      <w:numPr>
        <w:ilvl w:val="2"/>
        <w:numId w:val="1"/>
      </w:numPr>
      <w:spacing w:line="105" w:lineRule="atLeast"/>
      <w:ind w:left="0"/>
      <w:jc w:val="both"/>
      <w:outlineLvl w:val="2"/>
    </w:pPr>
    <w:rPr>
      <w:rFonts w:ascii="方正书宋简体" w:hAnsi="Times New Roman" w:eastAsia="方正书宋简体" w:cs="Times New Roman"/>
      <w:bCs/>
      <w:kern w:val="2"/>
      <w:sz w:val="18"/>
      <w:szCs w:val="24"/>
      <w:lang w:val="en-US" w:eastAsia="zh-CN" w:bidi="ar-SA"/>
      <w14:ligatures w14:val="standardContextual"/>
    </w:rPr>
  </w:style>
  <w:style w:type="character" w:default="1" w:styleId="18">
    <w:name w:val="Default Paragraph Font"/>
    <w:semiHidden/>
    <w:unhideWhenUsed/>
    <w:qFormat/>
    <w:uiPriority w:val="1"/>
  </w:style>
  <w:style w:type="table" w:default="1" w:styleId="16">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5">
    <w:name w:val="caption"/>
    <w:basedOn w:val="1"/>
    <w:next w:val="1"/>
    <w:link w:val="42"/>
    <w:unhideWhenUsed/>
    <w:qFormat/>
    <w:uiPriority w:val="35"/>
    <w:rPr>
      <w:rFonts w:eastAsia="黑体" w:asciiTheme="majorHAnsi" w:hAnsiTheme="majorHAnsi" w:cstheme="majorBidi"/>
      <w:sz w:val="20"/>
      <w:szCs w:val="20"/>
    </w:rPr>
  </w:style>
  <w:style w:type="paragraph" w:styleId="6">
    <w:name w:val="annotation text"/>
    <w:basedOn w:val="1"/>
    <w:link w:val="49"/>
    <w:semiHidden/>
    <w:unhideWhenUsed/>
    <w:qFormat/>
    <w:uiPriority w:val="99"/>
    <w:pPr>
      <w:jc w:val="left"/>
    </w:pPr>
  </w:style>
  <w:style w:type="paragraph" w:styleId="7">
    <w:name w:val="toc 3"/>
    <w:basedOn w:val="1"/>
    <w:next w:val="1"/>
    <w:unhideWhenUsed/>
    <w:qFormat/>
    <w:uiPriority w:val="39"/>
    <w:pPr>
      <w:widowControl/>
      <w:spacing w:after="100" w:line="259" w:lineRule="auto"/>
      <w:ind w:left="440" w:firstLine="0" w:firstLineChars="0"/>
      <w:jc w:val="left"/>
    </w:pPr>
    <w:rPr>
      <w:rFonts w:asciiTheme="minorHAnsi" w:hAnsiTheme="minorHAnsi" w:eastAsiaTheme="minorEastAsia"/>
      <w:kern w:val="0"/>
      <w:sz w:val="22"/>
      <w:szCs w:val="22"/>
      <w14:ligatures w14:val="none"/>
    </w:rPr>
  </w:style>
  <w:style w:type="paragraph" w:styleId="8">
    <w:name w:val="Balloon Text"/>
    <w:basedOn w:val="1"/>
    <w:link w:val="53"/>
    <w:semiHidden/>
    <w:unhideWhenUsed/>
    <w:qFormat/>
    <w:uiPriority w:val="99"/>
    <w:rPr>
      <w:rFonts w:ascii="Segoe UI" w:hAnsi="Segoe UI" w:cs="Segoe UI"/>
      <w:sz w:val="18"/>
      <w:szCs w:val="18"/>
    </w:rPr>
  </w:style>
  <w:style w:type="paragraph" w:styleId="9">
    <w:name w:val="footer"/>
    <w:basedOn w:val="1"/>
    <w:link w:val="38"/>
    <w:unhideWhenUsed/>
    <w:qFormat/>
    <w:uiPriority w:val="99"/>
    <w:pPr>
      <w:tabs>
        <w:tab w:val="center" w:pos="4153"/>
        <w:tab w:val="right" w:pos="8306"/>
      </w:tabs>
      <w:spacing w:line="240" w:lineRule="atLeast"/>
      <w:jc w:val="left"/>
    </w:pPr>
    <w:rPr>
      <w:sz w:val="18"/>
      <w:szCs w:val="18"/>
    </w:rPr>
  </w:style>
  <w:style w:type="paragraph" w:styleId="10">
    <w:name w:val="header"/>
    <w:basedOn w:val="1"/>
    <w:link w:val="37"/>
    <w:unhideWhenUsed/>
    <w:qFormat/>
    <w:uiPriority w:val="99"/>
    <w:pPr>
      <w:tabs>
        <w:tab w:val="center" w:pos="4153"/>
        <w:tab w:val="right" w:pos="8306"/>
      </w:tabs>
      <w:spacing w:line="240" w:lineRule="atLeast"/>
      <w:jc w:val="center"/>
    </w:pPr>
    <w:rPr>
      <w:sz w:val="18"/>
      <w:szCs w:val="18"/>
    </w:rPr>
  </w:style>
  <w:style w:type="paragraph" w:styleId="11">
    <w:name w:val="toc 1"/>
    <w:basedOn w:val="1"/>
    <w:next w:val="1"/>
    <w:unhideWhenUsed/>
    <w:qFormat/>
    <w:uiPriority w:val="39"/>
    <w:pPr>
      <w:widowControl/>
      <w:spacing w:after="100" w:line="259" w:lineRule="auto"/>
      <w:ind w:firstLine="0" w:firstLineChars="0"/>
      <w:jc w:val="left"/>
    </w:pPr>
    <w:rPr>
      <w:rFonts w:asciiTheme="minorHAnsi" w:hAnsiTheme="minorHAnsi" w:eastAsiaTheme="minorEastAsia"/>
      <w:kern w:val="0"/>
      <w:sz w:val="22"/>
      <w:szCs w:val="22"/>
      <w14:ligatures w14:val="none"/>
    </w:rPr>
  </w:style>
  <w:style w:type="paragraph" w:styleId="12">
    <w:name w:val="footnote text"/>
    <w:basedOn w:val="1"/>
    <w:link w:val="51"/>
    <w:semiHidden/>
    <w:qFormat/>
    <w:uiPriority w:val="0"/>
    <w:pPr>
      <w:snapToGrid w:val="0"/>
      <w:ind w:firstLine="0" w:firstLineChars="0"/>
      <w:jc w:val="left"/>
    </w:pPr>
    <w:rPr>
      <w:rFonts w:ascii="Times New Roman" w:eastAsia="宋体"/>
      <w:sz w:val="18"/>
      <w:szCs w:val="20"/>
      <w14:ligatures w14:val="none"/>
    </w:rPr>
  </w:style>
  <w:style w:type="paragraph" w:styleId="13">
    <w:name w:val="toc 2"/>
    <w:basedOn w:val="1"/>
    <w:next w:val="1"/>
    <w:unhideWhenUsed/>
    <w:qFormat/>
    <w:uiPriority w:val="39"/>
    <w:pPr>
      <w:widowControl/>
      <w:spacing w:after="100" w:line="259" w:lineRule="auto"/>
      <w:ind w:left="220" w:firstLine="0" w:firstLineChars="0"/>
      <w:jc w:val="left"/>
    </w:pPr>
    <w:rPr>
      <w:rFonts w:asciiTheme="minorHAnsi" w:hAnsiTheme="minorHAnsi" w:eastAsiaTheme="minorEastAsia"/>
      <w:kern w:val="0"/>
      <w:sz w:val="22"/>
      <w:szCs w:val="22"/>
      <w14:ligatures w14:val="none"/>
    </w:rPr>
  </w:style>
  <w:style w:type="paragraph" w:styleId="14">
    <w:name w:val="Normal (Web)"/>
    <w:basedOn w:val="1"/>
    <w:qFormat/>
    <w:uiPriority w:val="99"/>
    <w:pPr>
      <w:widowControl/>
      <w:spacing w:before="100" w:beforeAutospacing="1" w:after="100" w:afterAutospacing="1"/>
      <w:ind w:firstLine="0" w:firstLineChars="0"/>
      <w:jc w:val="left"/>
    </w:pPr>
    <w:rPr>
      <w:rFonts w:ascii="Arial Unicode MS" w:hAnsi="Arial Unicode MS" w:eastAsia="Arial Unicode MS" w:cs="Arial Unicode MS"/>
      <w:kern w:val="0"/>
      <w:sz w:val="24"/>
      <w14:ligatures w14:val="none"/>
    </w:rPr>
  </w:style>
  <w:style w:type="paragraph" w:styleId="15">
    <w:name w:val="annotation subject"/>
    <w:basedOn w:val="6"/>
    <w:next w:val="6"/>
    <w:link w:val="50"/>
    <w:semiHidden/>
    <w:unhideWhenUsed/>
    <w:qFormat/>
    <w:uiPriority w:val="99"/>
    <w:rPr>
      <w:b/>
      <w:bCs/>
    </w:rPr>
  </w:style>
  <w:style w:type="table" w:styleId="17">
    <w:name w:val="Table Grid"/>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22"/>
    <w:rPr>
      <w:b/>
    </w:rPr>
  </w:style>
  <w:style w:type="character" w:styleId="20">
    <w:name w:val="Hyperlink"/>
    <w:qFormat/>
    <w:uiPriority w:val="0"/>
    <w:rPr>
      <w:color w:val="0000FF"/>
      <w:u w:val="single"/>
    </w:rPr>
  </w:style>
  <w:style w:type="character" w:styleId="21">
    <w:name w:val="annotation reference"/>
    <w:basedOn w:val="18"/>
    <w:semiHidden/>
    <w:unhideWhenUsed/>
    <w:qFormat/>
    <w:uiPriority w:val="99"/>
    <w:rPr>
      <w:sz w:val="21"/>
      <w:szCs w:val="21"/>
    </w:rPr>
  </w:style>
  <w:style w:type="paragraph" w:customStyle="1" w:styleId="22">
    <w:name w:val="论文正文"/>
    <w:basedOn w:val="1"/>
    <w:qFormat/>
    <w:uiPriority w:val="0"/>
  </w:style>
  <w:style w:type="paragraph" w:customStyle="1" w:styleId="23">
    <w:name w:val="论文三级标题"/>
    <w:basedOn w:val="4"/>
    <w:next w:val="22"/>
    <w:qFormat/>
    <w:uiPriority w:val="0"/>
    <w:pPr>
      <w:spacing w:line="720" w:lineRule="auto"/>
    </w:pPr>
    <w:rPr>
      <w:b/>
      <w:sz w:val="24"/>
    </w:rPr>
  </w:style>
  <w:style w:type="character" w:customStyle="1" w:styleId="24">
    <w:name w:val="Heading 3 Char"/>
    <w:link w:val="4"/>
    <w:qFormat/>
    <w:uiPriority w:val="0"/>
    <w:rPr>
      <w:rFonts w:ascii="方正书宋简体" w:hAnsi="Times New Roman" w:eastAsia="方正书宋简体" w:cs="Times New Roman"/>
      <w:bCs/>
      <w:kern w:val="2"/>
      <w:sz w:val="18"/>
      <w:szCs w:val="24"/>
      <w:lang w:val="en-US" w:eastAsia="zh-CN"/>
      <w14:ligatures w14:val="standardContextual"/>
    </w:rPr>
  </w:style>
  <w:style w:type="paragraph" w:customStyle="1" w:styleId="25">
    <w:name w:val="论文二级标题"/>
    <w:basedOn w:val="3"/>
    <w:next w:val="22"/>
    <w:qFormat/>
    <w:uiPriority w:val="0"/>
    <w:pPr>
      <w:spacing w:line="415" w:lineRule="auto"/>
    </w:pPr>
    <w:rPr>
      <w:b/>
      <w:sz w:val="28"/>
    </w:rPr>
  </w:style>
  <w:style w:type="character" w:customStyle="1" w:styleId="26">
    <w:name w:val="Heading 2 Char"/>
    <w:link w:val="3"/>
    <w:qFormat/>
    <w:uiPriority w:val="0"/>
    <w:rPr>
      <w:rFonts w:ascii="Times New Roman" w:hAnsi="Times New Roman" w:eastAsia="方正黑体简体" w:cs="Times New Roman"/>
      <w:szCs w:val="24"/>
    </w:rPr>
  </w:style>
  <w:style w:type="paragraph" w:customStyle="1" w:styleId="27">
    <w:name w:val="论文一级标题"/>
    <w:basedOn w:val="2"/>
    <w:next w:val="25"/>
    <w:qFormat/>
    <w:uiPriority w:val="0"/>
    <w:pPr>
      <w:spacing w:before="100" w:beforeLines="100" w:after="100" w:afterLines="100" w:line="420" w:lineRule="auto"/>
    </w:pPr>
    <w:rPr>
      <w:b/>
      <w:sz w:val="36"/>
    </w:rPr>
  </w:style>
  <w:style w:type="character" w:customStyle="1" w:styleId="28">
    <w:name w:val="Heading 1 Char"/>
    <w:basedOn w:val="18"/>
    <w:link w:val="2"/>
    <w:qFormat/>
    <w:uiPriority w:val="0"/>
    <w:rPr>
      <w:rFonts w:ascii="Times New Roman" w:hAnsi="Times New Roman" w:eastAsia="方正黑体简体" w:cs="Times New Roman"/>
      <w:sz w:val="24"/>
      <w:szCs w:val="20"/>
    </w:rPr>
  </w:style>
  <w:style w:type="paragraph" w:customStyle="1" w:styleId="29">
    <w:name w:val="题1"/>
    <w:basedOn w:val="2"/>
    <w:next w:val="1"/>
    <w:link w:val="30"/>
    <w:qFormat/>
    <w:uiPriority w:val="0"/>
    <w:pPr>
      <w:numPr>
        <w:ilvl w:val="0"/>
        <w:numId w:val="2"/>
      </w:numPr>
      <w:spacing w:before="62" w:beforeLines="20" w:after="124" w:afterLines="40"/>
    </w:pPr>
    <w:rPr>
      <w:rFonts w:ascii="Cambria" w:hAnsi="Cambria"/>
      <w14:ligatures w14:val="none"/>
    </w:rPr>
  </w:style>
  <w:style w:type="character" w:customStyle="1" w:styleId="30">
    <w:name w:val="题1 字符"/>
    <w:basedOn w:val="18"/>
    <w:link w:val="29"/>
    <w:qFormat/>
    <w:uiPriority w:val="0"/>
    <w:rPr>
      <w:rFonts w:ascii="Cambria" w:hAnsi="Cambria" w:eastAsia="FangSong_GB2312" w:cs="Times New Roman"/>
      <w:b/>
      <w:bCs/>
      <w:kern w:val="44"/>
      <w:sz w:val="30"/>
      <w:szCs w:val="44"/>
      <w14:ligatures w14:val="none"/>
    </w:rPr>
  </w:style>
  <w:style w:type="paragraph" w:customStyle="1" w:styleId="31">
    <w:name w:val="题2"/>
    <w:basedOn w:val="3"/>
    <w:next w:val="32"/>
    <w:link w:val="33"/>
    <w:qFormat/>
    <w:uiPriority w:val="0"/>
    <w:pPr>
      <w:numPr>
        <w:numId w:val="3"/>
      </w:numPr>
      <w:tabs>
        <w:tab w:val="left" w:pos="720"/>
        <w:tab w:val="left" w:pos="1440"/>
      </w:tabs>
      <w:spacing w:line="305" w:lineRule="auto"/>
      <w:ind w:left="567" w:firstLine="0"/>
    </w:pPr>
    <w:rPr>
      <w:rFonts w:ascii="FangSong_GB2312" w:hAnsi="FangSong_GB2312" w:eastAsia="FangSong_GB2312"/>
      <w:bCs/>
      <w:sz w:val="28"/>
      <w:szCs w:val="28"/>
      <w14:ligatures w14:val="none"/>
    </w:rPr>
  </w:style>
  <w:style w:type="paragraph" w:customStyle="1" w:styleId="32">
    <w:name w:val="题3"/>
    <w:basedOn w:val="4"/>
    <w:next w:val="22"/>
    <w:link w:val="34"/>
    <w:qFormat/>
    <w:uiPriority w:val="0"/>
    <w:pPr>
      <w:numPr>
        <w:numId w:val="2"/>
      </w:numPr>
      <w:spacing w:line="360" w:lineRule="auto"/>
    </w:pPr>
  </w:style>
  <w:style w:type="character" w:customStyle="1" w:styleId="33">
    <w:name w:val="题2 字符"/>
    <w:basedOn w:val="18"/>
    <w:link w:val="31"/>
    <w:qFormat/>
    <w:uiPriority w:val="0"/>
    <w:rPr>
      <w:rFonts w:ascii="FangSong_GB2312" w:hAnsi="FangSong_GB2312" w:eastAsia="FangSong_GB2312" w:cstheme="majorBidi"/>
      <w:b/>
      <w:sz w:val="28"/>
      <w:szCs w:val="28"/>
      <w14:ligatures w14:val="none"/>
    </w:rPr>
  </w:style>
  <w:style w:type="character" w:customStyle="1" w:styleId="34">
    <w:name w:val="题3 字符"/>
    <w:basedOn w:val="18"/>
    <w:link w:val="32"/>
    <w:qFormat/>
    <w:uiPriority w:val="0"/>
    <w:rPr>
      <w:rFonts w:ascii="FangSong_GB2312" w:hAnsi="FangSong_GB2312" w:eastAsia="FangSong_GB2312" w:cs="Times New Roman"/>
      <w:b/>
      <w:bCs/>
      <w:sz w:val="28"/>
      <w:szCs w:val="32"/>
    </w:rPr>
  </w:style>
  <w:style w:type="paragraph" w:customStyle="1" w:styleId="35">
    <w:name w:val="表注的样式"/>
    <w:basedOn w:val="1"/>
    <w:link w:val="36"/>
    <w:qFormat/>
    <w:uiPriority w:val="0"/>
    <w:pPr>
      <w:ind w:firstLine="0" w:firstLineChars="0"/>
      <w:jc w:val="center"/>
    </w:pPr>
  </w:style>
  <w:style w:type="character" w:customStyle="1" w:styleId="36">
    <w:name w:val="表注的样式 字符"/>
    <w:basedOn w:val="18"/>
    <w:link w:val="35"/>
    <w:qFormat/>
    <w:uiPriority w:val="0"/>
    <w:rPr>
      <w:rFonts w:ascii="Times New Roman" w:hAnsi="Times New Roman" w:eastAsia="FangSong_GB2312" w:cs="Times New Roman"/>
      <w:sz w:val="24"/>
      <w:szCs w:val="24"/>
    </w:rPr>
  </w:style>
  <w:style w:type="character" w:customStyle="1" w:styleId="37">
    <w:name w:val="Header Char"/>
    <w:basedOn w:val="18"/>
    <w:link w:val="10"/>
    <w:qFormat/>
    <w:uiPriority w:val="99"/>
    <w:rPr>
      <w:rFonts w:ascii="Times New Roman" w:hAnsi="Times New Roman" w:eastAsia="宋体" w:cs="Times New Roman"/>
      <w:sz w:val="18"/>
      <w:szCs w:val="18"/>
    </w:rPr>
  </w:style>
  <w:style w:type="character" w:customStyle="1" w:styleId="38">
    <w:name w:val="Footer Char"/>
    <w:basedOn w:val="18"/>
    <w:link w:val="9"/>
    <w:qFormat/>
    <w:uiPriority w:val="99"/>
    <w:rPr>
      <w:rFonts w:ascii="Times New Roman" w:hAnsi="Times New Roman" w:eastAsia="宋体" w:cs="Times New Roman"/>
      <w:sz w:val="18"/>
      <w:szCs w:val="18"/>
    </w:rPr>
  </w:style>
  <w:style w:type="paragraph" w:customStyle="1" w:styleId="39">
    <w:name w:val="Revision1"/>
    <w:hidden/>
    <w:semiHidden/>
    <w:qFormat/>
    <w:uiPriority w:val="99"/>
    <w:rPr>
      <w:rFonts w:ascii="方正书宋简体" w:hAnsi="Times New Roman" w:eastAsia="方正书宋简体" w:cs="Times New Roman"/>
      <w:kern w:val="2"/>
      <w:sz w:val="21"/>
      <w:szCs w:val="24"/>
      <w:lang w:val="en-US" w:eastAsia="zh-CN" w:bidi="ar-SA"/>
      <w14:ligatures w14:val="standardContextual"/>
    </w:rPr>
  </w:style>
  <w:style w:type="paragraph" w:customStyle="1" w:styleId="40">
    <w:name w:val="a5关键词"/>
    <w:basedOn w:val="1"/>
    <w:qFormat/>
    <w:uiPriority w:val="0"/>
    <w:pPr>
      <w:ind w:left="283" w:hanging="283" w:firstLineChars="0"/>
      <w:jc w:val="left"/>
    </w:pPr>
    <w:rPr>
      <w:rFonts w:ascii="宋体" w:hAnsi="宋体" w:eastAsia="宋体"/>
      <w:b/>
      <w:bCs/>
      <w:snapToGrid w:val="0"/>
      <w:kern w:val="0"/>
      <w:sz w:val="30"/>
      <w:szCs w:val="30"/>
      <w:shd w:val="clear" w:color="auto" w:fill="FAFAFA"/>
      <w14:ligatures w14:val="none"/>
    </w:rPr>
  </w:style>
  <w:style w:type="paragraph" w:customStyle="1" w:styleId="41">
    <w:name w:val="注"/>
    <w:basedOn w:val="5"/>
    <w:link w:val="43"/>
    <w:qFormat/>
    <w:uiPriority w:val="0"/>
    <w:pPr>
      <w:ind w:firstLine="0" w:firstLineChars="0"/>
      <w:jc w:val="center"/>
    </w:pPr>
    <w:rPr>
      <w:rFonts w:ascii="方正黑体简体" w:eastAsia="方正黑体简体"/>
      <w:sz w:val="18"/>
      <w:szCs w:val="18"/>
    </w:rPr>
  </w:style>
  <w:style w:type="character" w:customStyle="1" w:styleId="42">
    <w:name w:val="Caption Char"/>
    <w:basedOn w:val="18"/>
    <w:link w:val="5"/>
    <w:qFormat/>
    <w:uiPriority w:val="35"/>
    <w:rPr>
      <w:rFonts w:eastAsia="黑体" w:asciiTheme="majorHAnsi" w:hAnsiTheme="majorHAnsi" w:cstheme="majorBidi"/>
      <w:sz w:val="20"/>
      <w:szCs w:val="20"/>
    </w:rPr>
  </w:style>
  <w:style w:type="character" w:customStyle="1" w:styleId="43">
    <w:name w:val="注 字符"/>
    <w:basedOn w:val="42"/>
    <w:link w:val="41"/>
    <w:qFormat/>
    <w:uiPriority w:val="0"/>
    <w:rPr>
      <w:rFonts w:ascii="方正黑体简体" w:eastAsia="方正黑体简体" w:hAnsiTheme="majorHAnsi" w:cstheme="majorBidi"/>
      <w:sz w:val="18"/>
      <w:szCs w:val="18"/>
    </w:rPr>
  </w:style>
  <w:style w:type="paragraph" w:styleId="44">
    <w:name w:val="No Spacing"/>
    <w:qFormat/>
    <w:uiPriority w:val="1"/>
    <w:pPr>
      <w:widowControl w:val="0"/>
      <w:ind w:firstLine="200" w:firstLineChars="200"/>
      <w:jc w:val="both"/>
    </w:pPr>
    <w:rPr>
      <w:rFonts w:ascii="方正书宋简体" w:hAnsi="Times New Roman" w:eastAsia="方正书宋简体" w:cs="Times New Roman"/>
      <w:kern w:val="2"/>
      <w:sz w:val="21"/>
      <w:szCs w:val="24"/>
      <w:lang w:val="en-US" w:eastAsia="zh-CN" w:bidi="ar-SA"/>
      <w14:ligatures w14:val="standardContextual"/>
    </w:rPr>
  </w:style>
  <w:style w:type="paragraph" w:customStyle="1" w:styleId="45">
    <w:name w:val="注（英）"/>
    <w:basedOn w:val="5"/>
    <w:link w:val="46"/>
    <w:qFormat/>
    <w:uiPriority w:val="0"/>
    <w:pPr>
      <w:ind w:firstLine="0" w:firstLineChars="0"/>
      <w:jc w:val="center"/>
    </w:pPr>
    <w:rPr>
      <w:rFonts w:ascii="方正书宋简体" w:eastAsia="方正书宋简体"/>
      <w:sz w:val="18"/>
      <w:szCs w:val="18"/>
    </w:rPr>
  </w:style>
  <w:style w:type="character" w:customStyle="1" w:styleId="46">
    <w:name w:val="注（英） 字符"/>
    <w:basedOn w:val="42"/>
    <w:link w:val="45"/>
    <w:qFormat/>
    <w:uiPriority w:val="0"/>
    <w:rPr>
      <w:rFonts w:ascii="方正书宋简体" w:eastAsia="方正书宋简体" w:hAnsiTheme="majorHAnsi" w:cstheme="majorBidi"/>
      <w:sz w:val="18"/>
      <w:szCs w:val="18"/>
    </w:rPr>
  </w:style>
  <w:style w:type="paragraph" w:styleId="47">
    <w:name w:val="List Paragraph"/>
    <w:basedOn w:val="1"/>
    <w:qFormat/>
    <w:uiPriority w:val="34"/>
    <w:pPr>
      <w:ind w:firstLine="420"/>
    </w:pPr>
  </w:style>
  <w:style w:type="character" w:styleId="48">
    <w:name w:val="Placeholder Text"/>
    <w:basedOn w:val="18"/>
    <w:semiHidden/>
    <w:qFormat/>
    <w:uiPriority w:val="99"/>
    <w:rPr>
      <w:color w:val="666666"/>
    </w:rPr>
  </w:style>
  <w:style w:type="character" w:customStyle="1" w:styleId="49">
    <w:name w:val="Comment Text Char"/>
    <w:basedOn w:val="18"/>
    <w:link w:val="6"/>
    <w:semiHidden/>
    <w:qFormat/>
    <w:uiPriority w:val="99"/>
    <w:rPr>
      <w:rFonts w:ascii="方正书宋简体" w:hAnsi="Times New Roman" w:eastAsia="方正书宋简体" w:cs="Times New Roman"/>
      <w:szCs w:val="24"/>
    </w:rPr>
  </w:style>
  <w:style w:type="character" w:customStyle="1" w:styleId="50">
    <w:name w:val="Comment Subject Char"/>
    <w:basedOn w:val="49"/>
    <w:link w:val="15"/>
    <w:semiHidden/>
    <w:qFormat/>
    <w:uiPriority w:val="99"/>
    <w:rPr>
      <w:rFonts w:ascii="方正书宋简体" w:hAnsi="Times New Roman" w:eastAsia="方正书宋简体" w:cs="Times New Roman"/>
      <w:b/>
      <w:bCs/>
      <w:szCs w:val="24"/>
    </w:rPr>
  </w:style>
  <w:style w:type="character" w:customStyle="1" w:styleId="51">
    <w:name w:val="Footnote Text Char"/>
    <w:basedOn w:val="18"/>
    <w:link w:val="12"/>
    <w:semiHidden/>
    <w:qFormat/>
    <w:uiPriority w:val="0"/>
    <w:rPr>
      <w:rFonts w:ascii="Times New Roman" w:hAnsi="Times New Roman" w:eastAsia="宋体" w:cs="Times New Roman"/>
      <w:sz w:val="18"/>
      <w:szCs w:val="20"/>
      <w14:ligatures w14:val="none"/>
    </w:rPr>
  </w:style>
  <w:style w:type="paragraph" w:customStyle="1" w:styleId="52">
    <w:name w:val="TOC Heading1"/>
    <w:basedOn w:val="2"/>
    <w:next w:val="1"/>
    <w:unhideWhenUsed/>
    <w:qFormat/>
    <w:uiPriority w:val="39"/>
    <w:pPr>
      <w:keepLines/>
      <w:numPr>
        <w:numId w:val="0"/>
      </w:numPr>
      <w:adjustRightInd/>
      <w:spacing w:before="240" w:line="259" w:lineRule="auto"/>
      <w:jc w:val="left"/>
      <w:outlineLvl w:val="9"/>
    </w:pPr>
    <w:rPr>
      <w:rFonts w:asciiTheme="majorHAnsi" w:hAnsiTheme="majorHAnsi" w:eastAsiaTheme="majorEastAsia" w:cstheme="majorBidi"/>
      <w:color w:val="104862" w:themeColor="accent1" w:themeShade="BF"/>
      <w:kern w:val="0"/>
      <w:sz w:val="32"/>
      <w:szCs w:val="32"/>
      <w14:ligatures w14:val="none"/>
    </w:rPr>
  </w:style>
  <w:style w:type="character" w:customStyle="1" w:styleId="53">
    <w:name w:val="Balloon Text Char"/>
    <w:basedOn w:val="18"/>
    <w:link w:val="8"/>
    <w:semiHidden/>
    <w:qFormat/>
    <w:uiPriority w:val="99"/>
    <w:rPr>
      <w:rFonts w:ascii="Segoe UI" w:hAnsi="Segoe UI" w:eastAsia="方正书宋简体" w:cs="Segoe UI"/>
      <w:kern w:val="2"/>
      <w:sz w:val="18"/>
      <w:szCs w:val="18"/>
      <w:lang w:val="en-US" w:eastAsia="zh-CN"/>
      <w14:ligatures w14:val="standardContextual"/>
    </w:rPr>
  </w:style>
  <w:style w:type="paragraph" w:customStyle="1" w:styleId="54">
    <w:name w:val="Revision"/>
    <w:hidden/>
    <w:semiHidden/>
    <w:qFormat/>
    <w:uiPriority w:val="99"/>
    <w:rPr>
      <w:rFonts w:ascii="方正书宋简体" w:hAnsi="Times New Roman" w:eastAsia="方正书宋简体" w:cs="Times New Roman"/>
      <w:kern w:val="2"/>
      <w:sz w:val="21"/>
      <w:szCs w:val="24"/>
      <w:lang w:val="en-US" w:eastAsia="zh-CN" w:bidi="ar-SA"/>
      <w14:ligatures w14:val="standardContextual"/>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numbering" Target="numbering.xml"/><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E4FFE-6E7C-4A6E-B625-5148D76A7C18}">
  <ds:schemaRefs/>
</ds:datastoreItem>
</file>

<file path=docProps/app.xml><?xml version="1.0" encoding="utf-8"?>
<Properties xmlns="http://schemas.openxmlformats.org/officeDocument/2006/extended-properties" xmlns:vt="http://schemas.openxmlformats.org/officeDocument/2006/docPropsVTypes">
  <Template>Normal</Template>
  <Pages>3</Pages>
  <Words>2177</Words>
  <Characters>10356</Characters>
  <Lines>942</Lines>
  <Paragraphs>265</Paragraphs>
  <TotalTime>10</TotalTime>
  <ScaleCrop>false</ScaleCrop>
  <LinksUpToDate>false</LinksUpToDate>
  <CharactersWithSpaces>11771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2026-01-05T12:03:00Z</dcterms:created>
  <dc:creator>秦淮</dc:creator>
  <cp:lastModifiedBy>秦淮</cp:lastModifiedBy>
  <cp:lastPrinted>2025-12-31T20:21:00Z</cp:lastPrinted>
  <dcterms:modified xsi:type="dcterms:W3CDTF">2026-04-03T08:59:29Z</dcterms:modified>
  <cp:revision>178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eyJoZGlkIjoiMWNjMjE1NTFmNGFmNDdiZjJlYzkzODY5MTU0MjljMzkiLCJ1c2VySWQiOiI2Nzc2ODQ2NzgifQ==</vt:lpwstr>
  </property>
  <property fmtid="{D5CDD505-2E9C-101B-9397-08002B2CF9AE}" pid="3" name="KSOProductBuildVer">
    <vt:lpwstr>2052-12.1.0.25225</vt:lpwstr>
  </property>
  <property fmtid="{D5CDD505-2E9C-101B-9397-08002B2CF9AE}" pid="4" name="ICV">
    <vt:lpwstr>AF99E31EA6224D8BA7DEC10C3FF85FE0_12</vt:lpwstr>
  </property>
  <property fmtid="{D5CDD505-2E9C-101B-9397-08002B2CF9AE}" pid="5" name="CustomProp">
    <vt:lpwstr>df82888d7f3d417caa7cfc03200d9653</vt:lpwstr>
  </property>
  <property fmtid="{D5CDD505-2E9C-101B-9397-08002B2CF9AE}" pid="6" name="DotEnagoUniqueKey">
    <vt:lpwstr>|0510811d12c7b99-b0b9-4f73-b9f6-a1767802089001-e18d2123</vt:lpwstr>
  </property>
</Properties>
</file>